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6C113" w14:textId="01D02622" w:rsidR="00FD1C2C" w:rsidRDefault="00FD1C2C" w:rsidP="00FD1C2C">
      <w:pPr>
        <w:rPr>
          <w:rFonts w:ascii="Calibri" w:hAnsi="Calibri" w:cs="Calibri"/>
          <w:b/>
          <w:bCs/>
        </w:rPr>
      </w:pPr>
      <w:r w:rsidRPr="00226703">
        <w:rPr>
          <w:rFonts w:ascii="Calibri" w:hAnsi="Calibri" w:cs="Calibri"/>
          <w:b/>
          <w:bCs/>
        </w:rPr>
        <w:t>SUPPLEMENTARY MATERIAL</w:t>
      </w:r>
    </w:p>
    <w:p w14:paraId="455570C1" w14:textId="77777777" w:rsidR="00F670C6" w:rsidRDefault="00F670C6" w:rsidP="00FD1C2C">
      <w:pPr>
        <w:rPr>
          <w:rFonts w:ascii="Calibri" w:hAnsi="Calibri" w:cs="Calibri"/>
          <w:b/>
          <w:bCs/>
        </w:rPr>
      </w:pPr>
    </w:p>
    <w:p w14:paraId="052A83C0" w14:textId="5324C990" w:rsidR="00B844D6" w:rsidRDefault="00B844D6" w:rsidP="00FD1C2C">
      <w:pPr>
        <w:rPr>
          <w:rFonts w:ascii="Calibri" w:hAnsi="Calibri" w:cs="Calibri"/>
          <w:b/>
          <w:bCs/>
        </w:rPr>
      </w:pPr>
      <w:r>
        <w:rPr>
          <w:rFonts w:ascii="Calibri" w:hAnsi="Calibri" w:cs="Calibri"/>
          <w:b/>
          <w:bCs/>
        </w:rPr>
        <w:t>Supplementary Methods</w:t>
      </w:r>
    </w:p>
    <w:p w14:paraId="001AFF6E" w14:textId="191198EF" w:rsidR="00B844D6" w:rsidRDefault="00F670C6" w:rsidP="00FD1C2C">
      <w:pPr>
        <w:rPr>
          <w:rFonts w:ascii="Calibri" w:hAnsi="Calibri" w:cs="Calibri"/>
          <w:b/>
          <w:bCs/>
        </w:rPr>
      </w:pPr>
      <w:r>
        <w:rPr>
          <w:rFonts w:ascii="Calibri" w:hAnsi="Calibri" w:cs="Calibri"/>
          <w:b/>
          <w:bCs/>
        </w:rPr>
        <w:t>Database generation: data processing and NLP model</w:t>
      </w:r>
    </w:p>
    <w:p w14:paraId="403B84FE" w14:textId="2CAE28DC" w:rsidR="00F670C6" w:rsidRDefault="004F7189" w:rsidP="00FD1C2C">
      <w:pPr>
        <w:rPr>
          <w:rFonts w:ascii="Calibri" w:hAnsi="Calibri" w:cs="Calibri"/>
        </w:rPr>
      </w:pPr>
      <w:r>
        <w:rPr>
          <w:rFonts w:ascii="Calibri" w:hAnsi="Calibri" w:cs="Calibri"/>
        </w:rPr>
        <w:t>The</w:t>
      </w:r>
      <w:r w:rsidRPr="004F7189">
        <w:rPr>
          <w:rFonts w:ascii="Calibri" w:hAnsi="Calibri" w:cs="Calibri"/>
        </w:rPr>
        <w:t xml:space="preserve"> NLP pipeline includes a language detector, sentence detector, text tokenizer, clinical entity recognizer, entity linker, and attribute extractor. Models were trained on extensive medical data and fine-tuned for this specific study. The NLP model coded clinically relevant information from patients' EHRs using machine learning. Trained models detected concepts from the specified datapoint list in the EHRs. The output is a text string representing a clinically meaningful entity, each assigned a UMLS code (CUI; see </w:t>
      </w:r>
      <w:r w:rsidRPr="004F7189">
        <w:rPr>
          <w:rFonts w:ascii="Calibri" w:hAnsi="Calibri" w:cs="Calibri"/>
          <w:b/>
          <w:bCs/>
        </w:rPr>
        <w:t>Supplementary Table 1</w:t>
      </w:r>
      <w:r w:rsidRPr="004F7189">
        <w:rPr>
          <w:rFonts w:ascii="Calibri" w:hAnsi="Calibri" w:cs="Calibri"/>
        </w:rPr>
        <w:t xml:space="preserve">). The Observational Medical Outcomes Partnership Common Data Model (OMOP CDM) serves as the clinical data warehouse (i.e., database), with data point CUIs transformed into </w:t>
      </w:r>
      <w:proofErr w:type="spellStart"/>
      <w:r w:rsidRPr="004F7189">
        <w:rPr>
          <w:rFonts w:ascii="Calibri" w:hAnsi="Calibri" w:cs="Calibri"/>
        </w:rPr>
        <w:t>AthenaIDs</w:t>
      </w:r>
      <w:proofErr w:type="spellEnd"/>
      <w:r w:rsidRPr="004F7189">
        <w:rPr>
          <w:rFonts w:ascii="Calibri" w:hAnsi="Calibri" w:cs="Calibri"/>
        </w:rPr>
        <w:t xml:space="preserve"> according to the warehouse standards </w:t>
      </w:r>
      <w:r w:rsidRPr="004F7189">
        <w:rPr>
          <w:rFonts w:ascii="Calibri" w:hAnsi="Calibri" w:cs="Calibri"/>
        </w:rPr>
        <w:fldChar w:fldCharType="begin"/>
      </w:r>
      <w:r w:rsidRPr="004F7189">
        <w:rPr>
          <w:rFonts w:ascii="Calibri" w:hAnsi="Calibri" w:cs="Calibri"/>
        </w:rPr>
        <w:instrText xml:space="preserve"> ADDIN EN.CITE &lt;EndNote&gt;&lt;Cite&gt;&lt;Author&gt;OHDSI&lt;/Author&gt;&lt;Year&gt;2019&lt;/Year&gt;&lt;RecNum&gt;81&lt;/RecNum&gt;&lt;DisplayText&gt;[6, 16]&lt;/DisplayText&gt;&lt;record&gt;&lt;rec-number&gt;81&lt;/rec-number&gt;&lt;foreign-keys&gt;&lt;key app="EN" db-id="2wffdsd27tv2wjepdzapt9adtvsr0z9wwwrp" timestamp="1673976206"&gt;81&lt;/key&gt;&lt;/foreign-keys&gt;&lt;ref-type name="Book"&gt;6&lt;/ref-type&gt;&lt;contributors&gt;&lt;authors&gt;&lt;author&gt;OHDSI&lt;/author&gt;&lt;/authors&gt;&lt;/contributors&gt;&lt;titles&gt;&lt;title&gt;The Book of OHDSI: Observational Health Data Sciences and Informatics&lt;/title&gt;&lt;/titles&gt;&lt;dates&gt;&lt;year&gt;2019&lt;/year&gt;&lt;/dates&gt;&lt;publisher&gt;OHDSI&lt;/publisher&gt;&lt;isbn&gt;9781088855195&lt;/isbn&gt;&lt;urls&gt;&lt;related-urls&gt;&lt;url&gt;https://books.google.es/books?id=JxpnzQEACAAJ&lt;/url&gt;&lt;/related-urls&gt;&lt;/urls&gt;&lt;/record&gt;&lt;/Cite&gt;&lt;Cite ExcludeYear="1"&gt;&lt;Author&gt;ATHENA&lt;/Author&gt;&lt;RecNum&gt;173&lt;/RecNum&gt;&lt;record&gt;&lt;rec-number&gt;173&lt;/rec-number&gt;&lt;foreign-keys&gt;&lt;key app="EN" db-id="2wffdsd27tv2wjepdzapt9adtvsr0z9wwwrp" timestamp="1709221767"&gt;173&lt;/key&gt;&lt;/foreign-keys&gt;&lt;ref-type name="Web Page"&gt;12&lt;/ref-type&gt;&lt;contributors&gt;&lt;authors&gt;&lt;author&gt;ATHENA&lt;/author&gt;&lt;/authors&gt;&lt;/contributors&gt;&lt;titles&gt;&lt;/titles&gt;&lt;volume&gt;2024&lt;/volume&gt;&lt;number&gt;March 1&lt;/number&gt;&lt;dates&gt;&lt;/dates&gt;&lt;urls&gt;&lt;related-urls&gt;&lt;url&gt;https://athena.ohdsi.org/search-terms/start&lt;/url&gt;&lt;/related-urls&gt;&lt;/urls&gt;&lt;/record&gt;&lt;/Cite&gt;&lt;/EndNote&gt;</w:instrText>
      </w:r>
      <w:r w:rsidRPr="004F7189">
        <w:rPr>
          <w:rFonts w:ascii="Calibri" w:hAnsi="Calibri" w:cs="Calibri"/>
        </w:rPr>
        <w:fldChar w:fldCharType="separate"/>
      </w:r>
      <w:r w:rsidRPr="004F7189">
        <w:rPr>
          <w:rFonts w:ascii="Calibri" w:hAnsi="Calibri" w:cs="Calibri"/>
          <w:noProof/>
        </w:rPr>
        <w:t>[6, 16]</w:t>
      </w:r>
      <w:r w:rsidRPr="004F7189">
        <w:rPr>
          <w:rFonts w:ascii="Calibri" w:hAnsi="Calibri" w:cs="Calibri"/>
        </w:rPr>
        <w:fldChar w:fldCharType="end"/>
      </w:r>
      <w:r w:rsidRPr="004F7189">
        <w:rPr>
          <w:rFonts w:ascii="Calibri" w:hAnsi="Calibri" w:cs="Calibri"/>
        </w:rPr>
        <w:t>. The OMOP Athena hierarchies capture descendants under datapoints, utilizing the hierarchical relationships of the OMOP CDM.</w:t>
      </w:r>
    </w:p>
    <w:p w14:paraId="5AA9CCA1" w14:textId="77777777" w:rsidR="00EF4F3E" w:rsidRDefault="00EF4F3E" w:rsidP="00FD1C2C">
      <w:pPr>
        <w:rPr>
          <w:rFonts w:ascii="Calibri" w:hAnsi="Calibri" w:cs="Calibri"/>
        </w:rPr>
      </w:pPr>
    </w:p>
    <w:p w14:paraId="3F090572" w14:textId="36589A83" w:rsidR="00EF4F3E" w:rsidRDefault="00EF4F3E" w:rsidP="00FD1C2C">
      <w:pPr>
        <w:rPr>
          <w:rFonts w:ascii="Calibri" w:hAnsi="Calibri" w:cs="Calibri"/>
          <w:b/>
          <w:bCs/>
        </w:rPr>
      </w:pPr>
      <w:r>
        <w:rPr>
          <w:rFonts w:ascii="Calibri" w:hAnsi="Calibri" w:cs="Calibri"/>
          <w:b/>
          <w:bCs/>
        </w:rPr>
        <w:t>Validation</w:t>
      </w:r>
    </w:p>
    <w:p w14:paraId="447D317B" w14:textId="4077237D" w:rsidR="00EF4F3E" w:rsidRDefault="006C32C9" w:rsidP="00FD1C2C">
      <w:pPr>
        <w:rPr>
          <w:rFonts w:ascii="Calibri" w:hAnsi="Calibri" w:cs="Calibri"/>
        </w:rPr>
      </w:pPr>
      <w:r>
        <w:rPr>
          <w:rFonts w:ascii="Calibri" w:hAnsi="Calibri" w:cs="Calibri"/>
        </w:rPr>
        <w:t xml:space="preserve">The four validation steps were as follows: </w:t>
      </w:r>
      <w:r w:rsidRPr="006C32C9">
        <w:rPr>
          <w:rFonts w:ascii="Calibri" w:hAnsi="Calibri" w:cs="Calibri"/>
        </w:rPr>
        <w:t xml:space="preserve">(1) At data intake, the data sources that were ingested to populate the OMOP database were discussed with the partaking hospitals to ensure coverage of all datapoints, and were verified regarding whether all expected data sources were delivered, all required columns within those sources were complete (including missing value checks), and whether date ranges and patient selection were consistent and compliant. (2) As previously described [1, 15], performance of the NLP model was assessed as to whether the extracted concepts were correct (precision) and whether the expected number of concepts were extracted from the documents (recall). Both recall and precision checks compare the model results to the gold standard generated by human annotators. The harmonic </w:t>
      </w:r>
      <w:proofErr w:type="gramStart"/>
      <w:r w:rsidRPr="006C32C9">
        <w:rPr>
          <w:rFonts w:ascii="Calibri" w:hAnsi="Calibri" w:cs="Calibri"/>
        </w:rPr>
        <w:t>mean</w:t>
      </w:r>
      <w:proofErr w:type="gramEnd"/>
      <w:r w:rsidRPr="006C32C9">
        <w:rPr>
          <w:rFonts w:ascii="Calibri" w:hAnsi="Calibri" w:cs="Calibri"/>
        </w:rPr>
        <w:t xml:space="preserve"> of precision and recall yields the F1 score. (3) During clinical validation of individual datapoints, physicians validated the precision by performing a source analysis overview of data from their own hospital regarding each datapoint, the underlying CUI, the number of unique patients for which the clinical concept was detected, and whether it was obtained from a structured or unstructured data source. (4) During clinical validation of aggregated reports, physicians performed a “sanity check” of statistics, to identify potentially missing data sources or correct the data dictionary.</w:t>
      </w:r>
    </w:p>
    <w:p w14:paraId="54FAE5D3" w14:textId="77777777" w:rsidR="006C32C9" w:rsidRDefault="006C32C9" w:rsidP="00FD1C2C">
      <w:pPr>
        <w:rPr>
          <w:rFonts w:ascii="Calibri" w:hAnsi="Calibri" w:cs="Calibri"/>
        </w:rPr>
      </w:pPr>
    </w:p>
    <w:p w14:paraId="6767876E" w14:textId="4EEE82F8" w:rsidR="006C32C9" w:rsidRDefault="006C32C9" w:rsidP="00FD1C2C">
      <w:pPr>
        <w:rPr>
          <w:rFonts w:ascii="Calibri" w:hAnsi="Calibri" w:cs="Calibri"/>
          <w:b/>
          <w:bCs/>
        </w:rPr>
      </w:pPr>
      <w:r>
        <w:rPr>
          <w:rFonts w:ascii="Calibri" w:hAnsi="Calibri" w:cs="Calibri"/>
          <w:b/>
          <w:bCs/>
        </w:rPr>
        <w:t>Statistical analysis</w:t>
      </w:r>
    </w:p>
    <w:p w14:paraId="5CDBE1F9" w14:textId="77777777" w:rsidR="001A7DEB" w:rsidRPr="001A7DEB" w:rsidRDefault="001A7DEB" w:rsidP="001A7DEB">
      <w:pPr>
        <w:spacing w:before="120" w:after="120"/>
        <w:ind w:firstLine="720"/>
        <w:jc w:val="both"/>
        <w:rPr>
          <w:rFonts w:ascii="Calibri" w:eastAsia="Open Sans" w:hAnsi="Calibri" w:cs="Calibri"/>
        </w:rPr>
      </w:pPr>
      <w:r w:rsidRPr="001A7DEB">
        <w:rPr>
          <w:rFonts w:ascii="Calibri" w:eastAsia="Open Sans" w:hAnsi="Calibri" w:cs="Calibri"/>
        </w:rPr>
        <w:t xml:space="preserve">In order to create oncology treatment regimens (i.e., antineoplastic agents used simultaneously), scripts were created based on the </w:t>
      </w:r>
      <w:proofErr w:type="spellStart"/>
      <w:r w:rsidRPr="001A7DEB">
        <w:rPr>
          <w:rFonts w:ascii="Calibri" w:eastAsia="Open Sans" w:hAnsi="Calibri" w:cs="Calibri"/>
        </w:rPr>
        <w:t>OncoRegimenFinder</w:t>
      </w:r>
      <w:proofErr w:type="spellEnd"/>
      <w:r w:rsidRPr="001A7DEB">
        <w:rPr>
          <w:rFonts w:ascii="Calibri" w:eastAsia="Open Sans" w:hAnsi="Calibri" w:cs="Calibri"/>
        </w:rPr>
        <w:t xml:space="preserve"> (</w:t>
      </w:r>
      <w:hyperlink r:id="rId9">
        <w:r w:rsidRPr="001A7DEB">
          <w:rPr>
            <w:rStyle w:val="Hyperlink"/>
            <w:rFonts w:ascii="Calibri" w:eastAsia="Open Sans" w:hAnsi="Calibri" w:cs="Calibri"/>
          </w:rPr>
          <w:t>OncologyWG/OncoRegimenFinder/readme.md at master · OHDSI/</w:t>
        </w:r>
        <w:proofErr w:type="spellStart"/>
        <w:r w:rsidRPr="001A7DEB">
          <w:rPr>
            <w:rStyle w:val="Hyperlink"/>
            <w:rFonts w:ascii="Calibri" w:eastAsia="Open Sans" w:hAnsi="Calibri" w:cs="Calibri"/>
          </w:rPr>
          <w:t>OncologyWG</w:t>
        </w:r>
        <w:proofErr w:type="spellEnd"/>
        <w:r w:rsidRPr="001A7DEB">
          <w:rPr>
            <w:rStyle w:val="Hyperlink"/>
            <w:rFonts w:ascii="Calibri" w:eastAsia="Open Sans" w:hAnsi="Calibri" w:cs="Calibri"/>
          </w:rPr>
          <w:t xml:space="preserve"> · GitHub)</w:t>
        </w:r>
      </w:hyperlink>
      <w:r w:rsidRPr="001A7DEB">
        <w:rPr>
          <w:rFonts w:ascii="Calibri" w:eastAsia="Open Sans" w:hAnsi="Calibri" w:cs="Calibri"/>
        </w:rPr>
        <w:t xml:space="preserve">. First, all drug administrations that are antineoplastic agents were identified. When there was a date </w:t>
      </w:r>
      <w:proofErr w:type="gramStart"/>
      <w:r w:rsidRPr="001A7DEB">
        <w:rPr>
          <w:rFonts w:ascii="Calibri" w:eastAsia="Open Sans" w:hAnsi="Calibri" w:cs="Calibri"/>
        </w:rPr>
        <w:t>difference</w:t>
      </w:r>
      <w:proofErr w:type="gramEnd"/>
      <w:r w:rsidRPr="001A7DEB">
        <w:rPr>
          <w:rFonts w:ascii="Calibri" w:eastAsia="Open Sans" w:hAnsi="Calibri" w:cs="Calibri"/>
        </w:rPr>
        <w:t xml:space="preserve"> less than 30 days between the administration of different antineoplastic agents, they </w:t>
      </w:r>
      <w:proofErr w:type="gramStart"/>
      <w:r w:rsidRPr="001A7DEB">
        <w:rPr>
          <w:rFonts w:ascii="Calibri" w:eastAsia="Open Sans" w:hAnsi="Calibri" w:cs="Calibri"/>
        </w:rPr>
        <w:t>were collapsed</w:t>
      </w:r>
      <w:proofErr w:type="gramEnd"/>
      <w:r w:rsidRPr="001A7DEB">
        <w:rPr>
          <w:rFonts w:ascii="Calibri" w:eastAsia="Open Sans" w:hAnsi="Calibri" w:cs="Calibri"/>
        </w:rPr>
        <w:t xml:space="preserve"> together into a regimen. Implausible regimens for a specific indication were filtered out, which can occur when a patient has multiple tumors.  </w:t>
      </w:r>
    </w:p>
    <w:p w14:paraId="68B3F699" w14:textId="77777777" w:rsidR="00F670C6" w:rsidRDefault="00F670C6" w:rsidP="00FD1C2C">
      <w:pPr>
        <w:rPr>
          <w:rFonts w:ascii="Calibri" w:hAnsi="Calibri" w:cs="Calibri"/>
          <w:b/>
          <w:bCs/>
        </w:rPr>
      </w:pPr>
    </w:p>
    <w:p w14:paraId="66B24250" w14:textId="5FA6E26F" w:rsidR="00F670C6" w:rsidRDefault="00F670C6">
      <w:pPr>
        <w:rPr>
          <w:rFonts w:ascii="Calibri" w:hAnsi="Calibri" w:cs="Calibri"/>
          <w:b/>
          <w:bCs/>
        </w:rPr>
      </w:pPr>
      <w:r>
        <w:rPr>
          <w:rFonts w:ascii="Calibri" w:hAnsi="Calibri" w:cs="Calibri"/>
          <w:b/>
          <w:bCs/>
        </w:rPr>
        <w:lastRenderedPageBreak/>
        <w:br w:type="page"/>
      </w:r>
    </w:p>
    <w:p w14:paraId="2049A154" w14:textId="30A90C28" w:rsidR="00F670C6" w:rsidRPr="00CD1381" w:rsidRDefault="00CD1381" w:rsidP="00FD1C2C">
      <w:pPr>
        <w:rPr>
          <w:rFonts w:ascii="Calibri" w:hAnsi="Calibri" w:cs="Calibri"/>
          <w:b/>
          <w:bCs/>
        </w:rPr>
      </w:pPr>
      <w:r>
        <w:rPr>
          <w:rFonts w:ascii="Calibri" w:hAnsi="Calibri" w:cs="Calibri"/>
          <w:b/>
          <w:bCs/>
        </w:rPr>
        <w:lastRenderedPageBreak/>
        <w:t>Supplementary Figures</w:t>
      </w:r>
    </w:p>
    <w:p w14:paraId="274E82BC" w14:textId="77777777" w:rsidR="00087FFB" w:rsidRDefault="00087FFB" w:rsidP="00FD1C2C">
      <w:pPr>
        <w:rPr>
          <w:rFonts w:ascii="Calibri" w:hAnsi="Calibri" w:cs="Calibri"/>
          <w:b/>
          <w:bCs/>
        </w:rPr>
      </w:pPr>
    </w:p>
    <w:p w14:paraId="66F084A4" w14:textId="77777777" w:rsidR="00F72C73" w:rsidRDefault="00F72C73">
      <w:pPr>
        <w:rPr>
          <w:rFonts w:ascii="Calibri" w:hAnsi="Calibri" w:cs="Calibri"/>
          <w:b/>
          <w:bCs/>
        </w:rPr>
      </w:pPr>
      <w:r w:rsidRPr="00F72C73">
        <w:rPr>
          <w:rFonts w:cstheme="minorHAnsi"/>
          <w:noProof/>
          <w:color w:val="000000"/>
        </w:rPr>
        <w:drawing>
          <wp:inline distT="0" distB="0" distL="0" distR="0" wp14:anchorId="32B37E6A" wp14:editId="7049CD28">
            <wp:extent cx="5943600" cy="2032635"/>
            <wp:effectExtent l="0" t="0" r="0" b="5715"/>
            <wp:docPr id="1364684713" name="Picture 1364684713" descr="A graph with blue lines and a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blue lines and a white sig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032635"/>
                    </a:xfrm>
                    <a:prstGeom prst="rect">
                      <a:avLst/>
                    </a:prstGeom>
                    <a:noFill/>
                  </pic:spPr>
                </pic:pic>
              </a:graphicData>
            </a:graphic>
          </wp:inline>
        </w:drawing>
      </w:r>
    </w:p>
    <w:p w14:paraId="5EFFE175" w14:textId="77777777" w:rsidR="00087FFB" w:rsidRDefault="00087FFB">
      <w:pPr>
        <w:rPr>
          <w:rFonts w:ascii="Calibri" w:hAnsi="Calibri" w:cs="Calibri"/>
          <w:b/>
          <w:bCs/>
        </w:rPr>
      </w:pPr>
    </w:p>
    <w:p w14:paraId="18D7F60B" w14:textId="1EF0D08D" w:rsidR="00500399" w:rsidRDefault="0009338D" w:rsidP="00087FFB">
      <w:pPr>
        <w:rPr>
          <w:rFonts w:ascii="Calibri" w:hAnsi="Calibri" w:cs="Calibri"/>
          <w:b/>
          <w:bCs/>
        </w:rPr>
      </w:pPr>
      <w:r>
        <w:rPr>
          <w:rFonts w:ascii="Calibri" w:hAnsi="Calibri" w:cs="Calibri"/>
          <w:b/>
          <w:bCs/>
        </w:rPr>
        <w:t xml:space="preserve">Supplementary </w:t>
      </w:r>
      <w:r w:rsidR="00087FFB" w:rsidRPr="00087FFB">
        <w:rPr>
          <w:rFonts w:ascii="Calibri" w:hAnsi="Calibri" w:cs="Calibri"/>
          <w:b/>
          <w:bCs/>
        </w:rPr>
        <w:t>Figure 1. Study timeline</w:t>
      </w:r>
      <w:r w:rsidR="00087FFB">
        <w:rPr>
          <w:rFonts w:ascii="Calibri" w:hAnsi="Calibri" w:cs="Calibri"/>
          <w:b/>
          <w:bCs/>
        </w:rPr>
        <w:t xml:space="preserve">. </w:t>
      </w:r>
      <w:r w:rsidR="00087FFB" w:rsidRPr="00087FFB">
        <w:rPr>
          <w:rFonts w:ascii="Calibri" w:hAnsi="Calibri" w:cs="Calibri"/>
        </w:rPr>
        <w:t>The study period began 6 months before the first detected index date (“pre-index period”) and ended at data cut-off. The 6-month pre-index period was used to detect a prior exposure to anti-PD1/PD-L1 therapy, which was an exclusion criterion.</w:t>
      </w:r>
      <w:r w:rsidR="00500399">
        <w:rPr>
          <w:rFonts w:ascii="Calibri" w:hAnsi="Calibri" w:cs="Calibri"/>
          <w:b/>
          <w:bCs/>
        </w:rPr>
        <w:br w:type="page"/>
      </w:r>
    </w:p>
    <w:p w14:paraId="104E6561" w14:textId="77777777" w:rsidR="00500399" w:rsidRPr="00226703" w:rsidRDefault="00500399" w:rsidP="00FD1C2C">
      <w:pPr>
        <w:rPr>
          <w:rFonts w:ascii="Calibri" w:hAnsi="Calibri" w:cs="Calibri"/>
          <w:b/>
          <w:bCs/>
        </w:rPr>
      </w:pPr>
    </w:p>
    <w:p w14:paraId="5D59D835" w14:textId="77777777" w:rsidR="00FD1C2C" w:rsidRPr="00226703" w:rsidRDefault="00FD1C2C" w:rsidP="00FD1C2C">
      <w:pPr>
        <w:rPr>
          <w:rFonts w:ascii="Calibri" w:hAnsi="Calibri" w:cs="Calibri"/>
          <w:b/>
          <w:bCs/>
        </w:rPr>
      </w:pPr>
      <w:r w:rsidRPr="00226703">
        <w:rPr>
          <w:rFonts w:ascii="Calibri" w:hAnsi="Calibri" w:cs="Calibri"/>
          <w:noProof/>
        </w:rPr>
        <w:drawing>
          <wp:inline distT="0" distB="0" distL="0" distR="0" wp14:anchorId="7540074D" wp14:editId="48851A2B">
            <wp:extent cx="5943600" cy="4635390"/>
            <wp:effectExtent l="0" t="0" r="0" b="0"/>
            <wp:docPr id="481398447" name="Picture 4813984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39095" name="Picture 1" descr="A screenshot of a compu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635390"/>
                    </a:xfrm>
                    <a:prstGeom prst="rect">
                      <a:avLst/>
                    </a:prstGeom>
                  </pic:spPr>
                </pic:pic>
              </a:graphicData>
            </a:graphic>
          </wp:inline>
        </w:drawing>
      </w:r>
    </w:p>
    <w:p w14:paraId="5AC84F15" w14:textId="34F68542" w:rsidR="00FD1C2C" w:rsidRPr="00226703" w:rsidRDefault="00FD1C2C" w:rsidP="00FD1C2C">
      <w:pPr>
        <w:rPr>
          <w:rFonts w:ascii="Calibri" w:hAnsi="Calibri" w:cs="Calibri"/>
        </w:rPr>
      </w:pPr>
      <w:r w:rsidRPr="00226703">
        <w:rPr>
          <w:rFonts w:ascii="Calibri" w:hAnsi="Calibri" w:cs="Calibri"/>
          <w:b/>
          <w:bCs/>
        </w:rPr>
        <w:t xml:space="preserve">Supplementary Figure </w:t>
      </w:r>
      <w:r w:rsidR="00CD1764">
        <w:rPr>
          <w:rFonts w:ascii="Calibri" w:hAnsi="Calibri" w:cs="Calibri"/>
          <w:b/>
          <w:bCs/>
        </w:rPr>
        <w:t>2</w:t>
      </w:r>
      <w:r w:rsidRPr="00226703">
        <w:rPr>
          <w:rFonts w:ascii="Calibri" w:hAnsi="Calibri" w:cs="Calibri"/>
          <w:b/>
          <w:bCs/>
        </w:rPr>
        <w:t xml:space="preserve">. </w:t>
      </w:r>
      <w:r w:rsidRPr="00226703">
        <w:rPr>
          <w:rFonts w:ascii="Calibri" w:hAnsi="Calibri" w:cs="Calibri"/>
        </w:rPr>
        <w:t xml:space="preserve">Indication split logic for patient categorization into tumor type, treatment line, pembrolizumab monotherapy vs combination therapy, histology (lung cancer), and treatment setting (RCC, melanoma).  ADJ: adjuvant; </w:t>
      </w:r>
      <w:proofErr w:type="spellStart"/>
      <w:r w:rsidRPr="00226703">
        <w:rPr>
          <w:rFonts w:ascii="Calibri" w:hAnsi="Calibri" w:cs="Calibri"/>
        </w:rPr>
        <w:t>cHL</w:t>
      </w:r>
      <w:proofErr w:type="spellEnd"/>
      <w:r w:rsidRPr="00226703">
        <w:rPr>
          <w:rFonts w:ascii="Calibri" w:hAnsi="Calibri" w:cs="Calibri"/>
        </w:rPr>
        <w:t>: classic Hodgkin lymphoma; COMBO: pembrolizumab combination therapy; CRC: colorectal cancer; ENDO: endometrial cancer; ESO: esophageal cancer; HNSCC: squamous cell carcinoma of the head and neck; KN: KEYNOTE pembrolizumab clinical trial; MONO: pembrolizumab monotherapy; NSCLC: non-small cell lung carcinoma; NSQ: non-squamous; RCC: renal cell carcinoma; SQ: squamous; TNB: triple-negative breast cancer; UC: urothelial carcinoma.</w:t>
      </w:r>
    </w:p>
    <w:p w14:paraId="518EACB3" w14:textId="77777777" w:rsidR="00FD1C2C" w:rsidRPr="00226703" w:rsidRDefault="00FD1C2C" w:rsidP="00FD1C2C">
      <w:pPr>
        <w:rPr>
          <w:rFonts w:ascii="Calibri" w:hAnsi="Calibri" w:cs="Calibri"/>
          <w:b/>
          <w:bCs/>
        </w:rPr>
      </w:pPr>
      <w:r w:rsidRPr="00226703">
        <w:rPr>
          <w:rFonts w:ascii="Calibri" w:hAnsi="Calibri" w:cs="Calibri"/>
          <w:b/>
          <w:bCs/>
        </w:rPr>
        <w:br w:type="page"/>
      </w:r>
    </w:p>
    <w:p w14:paraId="309A74B7" w14:textId="4EAC46EF" w:rsidR="00CD1381" w:rsidRDefault="00DF07BF" w:rsidP="00CD1764">
      <w:pPr>
        <w:rPr>
          <w:rFonts w:ascii="Calibri" w:hAnsi="Calibri" w:cs="Calibri"/>
          <w:b/>
          <w:bCs/>
        </w:rPr>
      </w:pPr>
      <w:r>
        <w:rPr>
          <w:rFonts w:ascii="Calibri" w:hAnsi="Calibri" w:cs="Calibri"/>
          <w:b/>
          <w:bCs/>
        </w:rPr>
        <w:lastRenderedPageBreak/>
        <w:t>Supplementary Tables</w:t>
      </w:r>
    </w:p>
    <w:p w14:paraId="52433026" w14:textId="77777777" w:rsidR="00DF07BF" w:rsidRDefault="00DF07BF" w:rsidP="00CD1764">
      <w:pPr>
        <w:rPr>
          <w:rFonts w:ascii="Calibri" w:hAnsi="Calibri" w:cs="Calibri"/>
          <w:b/>
          <w:bCs/>
        </w:rPr>
      </w:pPr>
    </w:p>
    <w:p w14:paraId="0530C903" w14:textId="6044205D" w:rsidR="00CD1764" w:rsidRPr="00CD1764" w:rsidRDefault="00CD1764" w:rsidP="00CD1764">
      <w:pPr>
        <w:rPr>
          <w:rFonts w:ascii="Calibri" w:hAnsi="Calibri" w:cs="Calibri"/>
          <w:b/>
          <w:bCs/>
        </w:rPr>
      </w:pPr>
      <w:r>
        <w:rPr>
          <w:rFonts w:ascii="Calibri" w:hAnsi="Calibri" w:cs="Calibri"/>
          <w:b/>
          <w:bCs/>
        </w:rPr>
        <w:t xml:space="preserve">Supplementary </w:t>
      </w:r>
      <w:r w:rsidRPr="00CD1764">
        <w:rPr>
          <w:rFonts w:ascii="Calibri" w:hAnsi="Calibri" w:cs="Calibri"/>
          <w:b/>
          <w:bCs/>
        </w:rPr>
        <w:t xml:space="preserve">Table </w:t>
      </w:r>
      <w:r>
        <w:rPr>
          <w:rFonts w:ascii="Calibri" w:hAnsi="Calibri" w:cs="Calibri"/>
          <w:b/>
          <w:bCs/>
        </w:rPr>
        <w:t>1</w:t>
      </w:r>
      <w:r w:rsidRPr="00CD1764">
        <w:rPr>
          <w:rFonts w:ascii="Calibri" w:hAnsi="Calibri" w:cs="Calibri"/>
          <w:b/>
          <w:bCs/>
        </w:rPr>
        <w:t xml:space="preserve">. Indications approved by EMA and reimbursed in Belgium as of 01 February 2022 </w:t>
      </w:r>
    </w:p>
    <w:tbl>
      <w:tblPr>
        <w:tblStyle w:val="TableGridLight"/>
        <w:tblW w:w="0" w:type="auto"/>
        <w:tblLook w:val="04A0" w:firstRow="1" w:lastRow="0" w:firstColumn="1" w:lastColumn="0" w:noHBand="0" w:noVBand="1"/>
      </w:tblPr>
      <w:tblGrid>
        <w:gridCol w:w="9350"/>
      </w:tblGrid>
      <w:tr w:rsidR="00CD1764" w:rsidRPr="00CD1764" w14:paraId="70F2A5D5" w14:textId="77777777" w:rsidTr="00FF5DC0">
        <w:tc>
          <w:tcPr>
            <w:tcW w:w="9350" w:type="dxa"/>
          </w:tcPr>
          <w:p w14:paraId="3B9C298C"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Monotherapy Indications</w:t>
            </w:r>
          </w:p>
        </w:tc>
      </w:tr>
      <w:tr w:rsidR="00CD1764" w:rsidRPr="00CD1764" w14:paraId="0E610348" w14:textId="77777777" w:rsidTr="00FF5DC0">
        <w:tc>
          <w:tcPr>
            <w:tcW w:w="9350" w:type="dxa"/>
          </w:tcPr>
          <w:p w14:paraId="27D0BFF6"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Melanoma: </w:t>
            </w:r>
            <w:r w:rsidRPr="00CD1764">
              <w:rPr>
                <w:rFonts w:ascii="Calibri" w:hAnsi="Calibri" w:cs="Calibri"/>
              </w:rPr>
              <w:t>advanced (unresectable or metastatic)</w:t>
            </w:r>
          </w:p>
        </w:tc>
      </w:tr>
      <w:tr w:rsidR="00CD1764" w:rsidRPr="00CD1764" w14:paraId="16CBAEF2" w14:textId="77777777" w:rsidTr="00FF5DC0">
        <w:tc>
          <w:tcPr>
            <w:tcW w:w="9350" w:type="dxa"/>
          </w:tcPr>
          <w:p w14:paraId="3AC79C80"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Melanoma: </w:t>
            </w:r>
            <w:r w:rsidRPr="00CD1764">
              <w:rPr>
                <w:rFonts w:ascii="Calibri" w:hAnsi="Calibri" w:cs="Calibri"/>
              </w:rPr>
              <w:t>adjuvant treatment of adults with Stage III melanoma and lymph node involvement who have undergone complete resection</w:t>
            </w:r>
          </w:p>
        </w:tc>
      </w:tr>
      <w:tr w:rsidR="00CD1764" w:rsidRPr="00CD1764" w14:paraId="5C04980E" w14:textId="77777777" w:rsidTr="00FF5DC0">
        <w:tc>
          <w:tcPr>
            <w:tcW w:w="9350" w:type="dxa"/>
          </w:tcPr>
          <w:p w14:paraId="1F034897"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Non-small cell lung carcinoma: </w:t>
            </w:r>
            <w:r w:rsidRPr="00CD1764">
              <w:rPr>
                <w:rFonts w:ascii="Calibri" w:hAnsi="Calibri" w:cs="Calibri"/>
              </w:rPr>
              <w:t>first-line treatment of metastatic NSCLC in adults whose tumors express PD-L1 with a ≥ 50% tumor proportion score (TPS) with no EGFR or ALK positive tumor mutations</w:t>
            </w:r>
          </w:p>
        </w:tc>
      </w:tr>
      <w:tr w:rsidR="00CD1764" w:rsidRPr="00CD1764" w14:paraId="3354F829" w14:textId="77777777" w:rsidTr="00FF5DC0">
        <w:tc>
          <w:tcPr>
            <w:tcW w:w="9350" w:type="dxa"/>
          </w:tcPr>
          <w:p w14:paraId="374A2AB3"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Non-small cell lung carcinoma: </w:t>
            </w:r>
            <w:r w:rsidRPr="00CD1764">
              <w:rPr>
                <w:rFonts w:ascii="Calibri" w:hAnsi="Calibri" w:cs="Calibri"/>
              </w:rPr>
              <w:t xml:space="preserve">locally advanced or metastatic whose tumors express PD-L1 with </w:t>
            </w:r>
            <w:proofErr w:type="gramStart"/>
            <w:r w:rsidRPr="00CD1764">
              <w:rPr>
                <w:rFonts w:ascii="Calibri" w:hAnsi="Calibri" w:cs="Calibri"/>
              </w:rPr>
              <w:t>a ≥ 1</w:t>
            </w:r>
            <w:proofErr w:type="gramEnd"/>
            <w:r w:rsidRPr="00CD1764">
              <w:rPr>
                <w:rFonts w:ascii="Calibri" w:hAnsi="Calibri" w:cs="Calibri"/>
              </w:rPr>
              <w:t>% TPS and who have received at least one prior chemotherapy regimen</w:t>
            </w:r>
          </w:p>
        </w:tc>
      </w:tr>
      <w:tr w:rsidR="00CD1764" w:rsidRPr="00CD1764" w14:paraId="4F9B499F" w14:textId="77777777" w:rsidTr="00FF5DC0">
        <w:tc>
          <w:tcPr>
            <w:tcW w:w="9350" w:type="dxa"/>
          </w:tcPr>
          <w:p w14:paraId="5DC0FC48"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Classical Hodgkin lymphoma: </w:t>
            </w:r>
            <w:r w:rsidRPr="00CD1764">
              <w:rPr>
                <w:rFonts w:ascii="Calibri" w:hAnsi="Calibri" w:cs="Calibri"/>
              </w:rPr>
              <w:t>relapsed or refractory classical Hodgkin lymphoma who have failed autologous stem cell transplant (ASCT) or following at least two prior therapies when ASCT is not a treatment option</w:t>
            </w:r>
          </w:p>
        </w:tc>
      </w:tr>
      <w:tr w:rsidR="00CD1764" w:rsidRPr="00CD1764" w14:paraId="056EF5B3" w14:textId="77777777" w:rsidTr="00FF5DC0">
        <w:tc>
          <w:tcPr>
            <w:tcW w:w="9350" w:type="dxa"/>
          </w:tcPr>
          <w:p w14:paraId="13642F15"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Urothelial carcinoma: </w:t>
            </w:r>
            <w:r w:rsidRPr="00CD1764">
              <w:rPr>
                <w:rFonts w:ascii="Calibri" w:hAnsi="Calibri" w:cs="Calibri"/>
              </w:rPr>
              <w:t>locally advanced or metastatic who have received prior platinum-containing chemotherapy</w:t>
            </w:r>
          </w:p>
        </w:tc>
      </w:tr>
      <w:tr w:rsidR="00CD1764" w:rsidRPr="00CD1764" w14:paraId="5095CF14" w14:textId="77777777" w:rsidTr="00FF5DC0">
        <w:tc>
          <w:tcPr>
            <w:tcW w:w="9350" w:type="dxa"/>
          </w:tcPr>
          <w:p w14:paraId="0CD488EE"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Urothelial carcinoma: </w:t>
            </w:r>
            <w:r w:rsidRPr="00CD1764">
              <w:rPr>
                <w:rFonts w:ascii="Calibri" w:hAnsi="Calibri" w:cs="Calibri"/>
              </w:rPr>
              <w:t>locally advanced or metastatic who are not eligible for cisplatin-containing chemotherapy and whose tumors express PD-L1 with a combined positive score (CPS) ≥ 10</w:t>
            </w:r>
          </w:p>
        </w:tc>
      </w:tr>
      <w:tr w:rsidR="00CD1764" w:rsidRPr="00CD1764" w14:paraId="1A2D9CFA" w14:textId="77777777" w:rsidTr="00FF5DC0">
        <w:tc>
          <w:tcPr>
            <w:tcW w:w="9350" w:type="dxa"/>
          </w:tcPr>
          <w:p w14:paraId="1E360A15"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Head and neck squamous cell carcinoma: </w:t>
            </w:r>
            <w:r w:rsidRPr="00CD1764">
              <w:rPr>
                <w:rFonts w:ascii="Calibri" w:hAnsi="Calibri" w:cs="Calibri"/>
              </w:rPr>
              <w:t>first-line treatment of metastatic or unresectable recurrent head and neck squamous cell carcinoma in adults whose tumors express PD-L1 with a CPS ≥ 1</w:t>
            </w:r>
          </w:p>
        </w:tc>
      </w:tr>
      <w:tr w:rsidR="00CD1764" w:rsidRPr="00CD1764" w14:paraId="0BE51AA8" w14:textId="77777777" w:rsidTr="00FF5DC0">
        <w:tc>
          <w:tcPr>
            <w:tcW w:w="9350" w:type="dxa"/>
          </w:tcPr>
          <w:p w14:paraId="62EBD206"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Colorectal cancer: </w:t>
            </w:r>
            <w:r w:rsidRPr="00CD1764">
              <w:rPr>
                <w:rFonts w:ascii="Calibri" w:hAnsi="Calibri" w:cs="Calibri"/>
              </w:rPr>
              <w:t>first-line treatment of metastatic microsatellite instability-high (MSI-H) or mismatch repair deficient (</w:t>
            </w:r>
            <w:proofErr w:type="spellStart"/>
            <w:r w:rsidRPr="00CD1764">
              <w:rPr>
                <w:rFonts w:ascii="Calibri" w:hAnsi="Calibri" w:cs="Calibri"/>
              </w:rPr>
              <w:t>dMMR</w:t>
            </w:r>
            <w:proofErr w:type="spellEnd"/>
            <w:r w:rsidRPr="00CD1764">
              <w:rPr>
                <w:rFonts w:ascii="Calibri" w:hAnsi="Calibri" w:cs="Calibri"/>
              </w:rPr>
              <w:t>)</w:t>
            </w:r>
          </w:p>
        </w:tc>
      </w:tr>
      <w:tr w:rsidR="00CD1764" w:rsidRPr="00CD1764" w14:paraId="78D9EF86" w14:textId="77777777" w:rsidTr="00FF5DC0">
        <w:tc>
          <w:tcPr>
            <w:tcW w:w="9350" w:type="dxa"/>
          </w:tcPr>
          <w:p w14:paraId="6F3C56C6"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Combination indications</w:t>
            </w:r>
          </w:p>
        </w:tc>
      </w:tr>
      <w:tr w:rsidR="00CD1764" w:rsidRPr="00CD1764" w14:paraId="77F723A4" w14:textId="77777777" w:rsidTr="00FF5DC0">
        <w:tc>
          <w:tcPr>
            <w:tcW w:w="9350" w:type="dxa"/>
          </w:tcPr>
          <w:p w14:paraId="5BC6E2C9"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Non-small cell lung carcinoma: </w:t>
            </w:r>
            <w:r w:rsidRPr="00CD1764">
              <w:rPr>
                <w:rFonts w:ascii="Calibri" w:hAnsi="Calibri" w:cs="Calibri"/>
              </w:rPr>
              <w:t>first-line treatment of metastatic non-squamous NSCLC in adults whose tumors have no EGFR or ALK positive mutations</w:t>
            </w:r>
          </w:p>
        </w:tc>
      </w:tr>
      <w:tr w:rsidR="00CD1764" w:rsidRPr="00CD1764" w14:paraId="4B7F6F44" w14:textId="77777777" w:rsidTr="00FF5DC0">
        <w:tc>
          <w:tcPr>
            <w:tcW w:w="9350" w:type="dxa"/>
          </w:tcPr>
          <w:p w14:paraId="5F1F36A0"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Non-small cell lung carcinoma: </w:t>
            </w:r>
            <w:r w:rsidRPr="00CD1764">
              <w:rPr>
                <w:rFonts w:ascii="Calibri" w:hAnsi="Calibri" w:cs="Calibri"/>
              </w:rPr>
              <w:t>first-line treatment of metastatic squamous NSCLC</w:t>
            </w:r>
          </w:p>
        </w:tc>
      </w:tr>
      <w:tr w:rsidR="00CD1764" w:rsidRPr="00CD1764" w14:paraId="0C6A7EBF" w14:textId="77777777" w:rsidTr="00FF5DC0">
        <w:tc>
          <w:tcPr>
            <w:tcW w:w="9350" w:type="dxa"/>
          </w:tcPr>
          <w:p w14:paraId="72DC670E"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Renal cell carcinoma: </w:t>
            </w:r>
            <w:r w:rsidRPr="00CD1764">
              <w:rPr>
                <w:rFonts w:ascii="Calibri" w:hAnsi="Calibri" w:cs="Calibri"/>
              </w:rPr>
              <w:t>first-line treatment of advanced RCC in adults</w:t>
            </w:r>
          </w:p>
        </w:tc>
      </w:tr>
      <w:tr w:rsidR="00CD1764" w:rsidRPr="00CD1764" w14:paraId="7DFF50EF" w14:textId="77777777" w:rsidTr="00FF5DC0">
        <w:tc>
          <w:tcPr>
            <w:tcW w:w="9350" w:type="dxa"/>
          </w:tcPr>
          <w:p w14:paraId="6C8D2633"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Head and neck squamous cell carcinoma: </w:t>
            </w:r>
            <w:r w:rsidRPr="00CD1764">
              <w:rPr>
                <w:rFonts w:ascii="Calibri" w:hAnsi="Calibri" w:cs="Calibri"/>
              </w:rPr>
              <w:t>first-line treatment of metastatic or unresectable recurrent head and neck squamous cell carcinoma in adults whose tumors express PD-L1 with a CPS ≥ 1</w:t>
            </w:r>
          </w:p>
        </w:tc>
      </w:tr>
      <w:tr w:rsidR="00CD1764" w:rsidRPr="00CD1764" w14:paraId="55922415" w14:textId="77777777" w:rsidTr="00FF5DC0">
        <w:tc>
          <w:tcPr>
            <w:tcW w:w="9350" w:type="dxa"/>
          </w:tcPr>
          <w:p w14:paraId="46D0DBEE"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lastRenderedPageBreak/>
              <w:t xml:space="preserve">Esophageal cancer: </w:t>
            </w:r>
            <w:r w:rsidRPr="00CD1764">
              <w:rPr>
                <w:rFonts w:ascii="Calibri" w:hAnsi="Calibri" w:cs="Calibri"/>
              </w:rPr>
              <w:t>First-line treatment of locally advanced unresectable or metastatic carcinoma of the esophagus or HER-2 negative gastroesophageal junction adenocarcinoma, in adults whose tumors express PD-L1 with a CPS ≥ 10</w:t>
            </w:r>
          </w:p>
        </w:tc>
      </w:tr>
      <w:tr w:rsidR="00CD1764" w:rsidRPr="00CD1764" w14:paraId="42D534D7" w14:textId="77777777" w:rsidTr="00FF5DC0">
        <w:tc>
          <w:tcPr>
            <w:tcW w:w="9350" w:type="dxa"/>
          </w:tcPr>
          <w:p w14:paraId="627F25AC"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Triple-negative breast cancer: </w:t>
            </w:r>
            <w:r w:rsidRPr="00CD1764">
              <w:rPr>
                <w:rFonts w:ascii="Calibri" w:hAnsi="Calibri" w:cs="Calibri"/>
              </w:rPr>
              <w:t>locally recurrent unresectable or metastatic TNBC in adults whose tumors express PD-L1 with a CPS ≥ 10 and who have not received prior chemotherapy for metastatic disease</w:t>
            </w:r>
          </w:p>
        </w:tc>
      </w:tr>
      <w:tr w:rsidR="00CD1764" w:rsidRPr="00CD1764" w14:paraId="57367E37" w14:textId="77777777" w:rsidTr="00FF5DC0">
        <w:tc>
          <w:tcPr>
            <w:tcW w:w="9350" w:type="dxa"/>
          </w:tcPr>
          <w:p w14:paraId="0858F187" w14:textId="77777777" w:rsidR="00CD1764" w:rsidRPr="00CD1764" w:rsidRDefault="00CD1764" w:rsidP="00CD1764">
            <w:pPr>
              <w:spacing w:after="160" w:line="259" w:lineRule="auto"/>
              <w:rPr>
                <w:rFonts w:ascii="Calibri" w:hAnsi="Calibri" w:cs="Calibri"/>
                <w:b/>
                <w:bCs/>
              </w:rPr>
            </w:pPr>
            <w:r w:rsidRPr="00CD1764">
              <w:rPr>
                <w:rFonts w:ascii="Calibri" w:hAnsi="Calibri" w:cs="Calibri"/>
                <w:b/>
                <w:bCs/>
              </w:rPr>
              <w:t xml:space="preserve">Endometrial carcinoma: </w:t>
            </w:r>
            <w:r w:rsidRPr="00CD1764">
              <w:rPr>
                <w:rFonts w:ascii="Calibri" w:hAnsi="Calibri" w:cs="Calibri"/>
              </w:rPr>
              <w:t>advanced or recurrent who have disease progression on or following prior treatment with a platinum-containing therapy in any setting and who are not candidates for curative surgery or radiation</w:t>
            </w:r>
          </w:p>
        </w:tc>
      </w:tr>
    </w:tbl>
    <w:p w14:paraId="6094EA55" w14:textId="77777777" w:rsidR="00CD1764" w:rsidRPr="00CD1764" w:rsidRDefault="00CD1764" w:rsidP="00CD1764">
      <w:pPr>
        <w:rPr>
          <w:rFonts w:ascii="Calibri" w:hAnsi="Calibri" w:cs="Calibri"/>
          <w:b/>
          <w:bCs/>
        </w:rPr>
      </w:pPr>
    </w:p>
    <w:p w14:paraId="76A57CAF" w14:textId="77777777" w:rsidR="00CD1764" w:rsidRDefault="00CD1764">
      <w:pPr>
        <w:rPr>
          <w:rFonts w:ascii="Calibri" w:hAnsi="Calibri" w:cs="Calibri"/>
          <w:b/>
          <w:bCs/>
        </w:rPr>
      </w:pPr>
      <w:r>
        <w:rPr>
          <w:rFonts w:ascii="Calibri" w:hAnsi="Calibri" w:cs="Calibri"/>
          <w:b/>
          <w:bCs/>
        </w:rPr>
        <w:br w:type="page"/>
      </w:r>
    </w:p>
    <w:p w14:paraId="0F05E6E0" w14:textId="4D74030A" w:rsidR="00CC1A4C" w:rsidRDefault="000E4C46" w:rsidP="00CC1A4C">
      <w:pPr>
        <w:rPr>
          <w:rFonts w:ascii="Calibri" w:hAnsi="Calibri" w:cs="Calibri"/>
        </w:rPr>
      </w:pPr>
      <w:r>
        <w:rPr>
          <w:rFonts w:ascii="Calibri" w:hAnsi="Calibri" w:cs="Calibri"/>
          <w:b/>
          <w:bCs/>
        </w:rPr>
        <w:lastRenderedPageBreak/>
        <w:t xml:space="preserve">Supplementary </w:t>
      </w:r>
      <w:r w:rsidR="00CC1A4C" w:rsidRPr="00CC1A4C">
        <w:rPr>
          <w:rFonts w:ascii="Calibri" w:hAnsi="Calibri" w:cs="Calibri"/>
          <w:b/>
          <w:bCs/>
        </w:rPr>
        <w:t xml:space="preserve">Table </w:t>
      </w:r>
      <w:r w:rsidR="00CD1764">
        <w:rPr>
          <w:rFonts w:ascii="Calibri" w:hAnsi="Calibri" w:cs="Calibri"/>
          <w:b/>
          <w:bCs/>
        </w:rPr>
        <w:t>2</w:t>
      </w:r>
      <w:r w:rsidR="00CC1A4C" w:rsidRPr="00CC1A4C">
        <w:rPr>
          <w:rFonts w:ascii="Calibri" w:hAnsi="Calibri" w:cs="Calibri"/>
          <w:b/>
          <w:bCs/>
        </w:rPr>
        <w:t>. Date ranges per data source reflecting overall pre- and post-observation times</w:t>
      </w:r>
      <w:r>
        <w:rPr>
          <w:rFonts w:ascii="Calibri" w:hAnsi="Calibri" w:cs="Calibri"/>
          <w:b/>
          <w:bCs/>
        </w:rPr>
        <w:t>.</w:t>
      </w:r>
      <w:r w:rsidRPr="000E4C46">
        <w:rPr>
          <w:rFonts w:ascii="Calibri" w:hAnsi="Calibri" w:cs="Calibri"/>
        </w:rPr>
        <w:t xml:space="preserve"> </w:t>
      </w:r>
      <w:r w:rsidRPr="00CC1A4C">
        <w:rPr>
          <w:rFonts w:ascii="Calibri" w:hAnsi="Calibri" w:cs="Calibri"/>
        </w:rPr>
        <w:t xml:space="preserve">Pre- and post-observation times varied per hospital and per data source, with an overall range from February 1998 to January 2023 (Table 1). In the case of dossiers, medical history described in the text (e.g., comorbidities) could refer to dates further in the past than the dates of the dossiers themselves. </w:t>
      </w:r>
    </w:p>
    <w:p w14:paraId="4835011B" w14:textId="77777777" w:rsidR="0051798B" w:rsidRPr="00CC1A4C" w:rsidRDefault="0051798B" w:rsidP="00CC1A4C">
      <w:pPr>
        <w:rPr>
          <w:rFonts w:ascii="Calibri" w:hAnsi="Calibri" w:cs="Calibri"/>
          <w:b/>
          <w:bCs/>
        </w:rPr>
      </w:pPr>
    </w:p>
    <w:tbl>
      <w:tblPr>
        <w:tblStyle w:val="TableGridLight"/>
        <w:tblW w:w="9486" w:type="dxa"/>
        <w:tblLook w:val="04A0" w:firstRow="1" w:lastRow="0" w:firstColumn="1" w:lastColumn="0" w:noHBand="0" w:noVBand="1"/>
      </w:tblPr>
      <w:tblGrid>
        <w:gridCol w:w="1682"/>
        <w:gridCol w:w="1921"/>
        <w:gridCol w:w="1921"/>
        <w:gridCol w:w="1948"/>
        <w:gridCol w:w="2014"/>
      </w:tblGrid>
      <w:tr w:rsidR="00CC1A4C" w:rsidRPr="00CC1A4C" w14:paraId="10669A6C" w14:textId="77777777" w:rsidTr="00FF5DC0">
        <w:tc>
          <w:tcPr>
            <w:tcW w:w="1682" w:type="dxa"/>
          </w:tcPr>
          <w:p w14:paraId="7076EB20" w14:textId="77777777" w:rsidR="00CC1A4C" w:rsidRPr="00CC1A4C" w:rsidRDefault="00CC1A4C" w:rsidP="00CC1A4C">
            <w:pPr>
              <w:spacing w:after="160" w:line="259" w:lineRule="auto"/>
              <w:rPr>
                <w:rFonts w:ascii="Calibri" w:hAnsi="Calibri" w:cs="Calibri"/>
                <w:b/>
                <w:bCs/>
              </w:rPr>
            </w:pPr>
            <w:r w:rsidRPr="00CC1A4C">
              <w:rPr>
                <w:rFonts w:ascii="Calibri" w:hAnsi="Calibri" w:cs="Calibri"/>
                <w:b/>
                <w:bCs/>
              </w:rPr>
              <w:t>DATA SOURCE:</w:t>
            </w:r>
          </w:p>
        </w:tc>
        <w:tc>
          <w:tcPr>
            <w:tcW w:w="1921" w:type="dxa"/>
          </w:tcPr>
          <w:p w14:paraId="1D271CF8" w14:textId="77777777" w:rsidR="00CC1A4C" w:rsidRPr="00CC1A4C" w:rsidRDefault="00CC1A4C" w:rsidP="00CC1A4C">
            <w:pPr>
              <w:spacing w:after="160" w:line="259" w:lineRule="auto"/>
              <w:rPr>
                <w:rFonts w:ascii="Calibri" w:hAnsi="Calibri" w:cs="Calibri"/>
                <w:b/>
                <w:bCs/>
              </w:rPr>
            </w:pPr>
            <w:r w:rsidRPr="00CC1A4C">
              <w:rPr>
                <w:rFonts w:ascii="Calibri" w:hAnsi="Calibri" w:cs="Calibri"/>
                <w:b/>
                <w:bCs/>
              </w:rPr>
              <w:t>Minimum Data Set (“MZG” in Dutch)</w:t>
            </w:r>
          </w:p>
        </w:tc>
        <w:tc>
          <w:tcPr>
            <w:tcW w:w="1921" w:type="dxa"/>
          </w:tcPr>
          <w:p w14:paraId="008F10C4" w14:textId="77777777" w:rsidR="00CC1A4C" w:rsidRPr="00CC1A4C" w:rsidRDefault="00CC1A4C" w:rsidP="00CC1A4C">
            <w:pPr>
              <w:spacing w:after="160" w:line="259" w:lineRule="auto"/>
              <w:rPr>
                <w:rFonts w:ascii="Calibri" w:hAnsi="Calibri" w:cs="Calibri"/>
                <w:b/>
                <w:bCs/>
              </w:rPr>
            </w:pPr>
            <w:r w:rsidRPr="00CC1A4C">
              <w:rPr>
                <w:rFonts w:ascii="Calibri" w:hAnsi="Calibri" w:cs="Calibri"/>
                <w:b/>
                <w:bCs/>
              </w:rPr>
              <w:t>Cancer registry</w:t>
            </w:r>
          </w:p>
        </w:tc>
        <w:tc>
          <w:tcPr>
            <w:tcW w:w="1948" w:type="dxa"/>
          </w:tcPr>
          <w:p w14:paraId="0B82EB4D" w14:textId="77777777" w:rsidR="00CC1A4C" w:rsidRPr="00CC1A4C" w:rsidRDefault="00CC1A4C" w:rsidP="00CC1A4C">
            <w:pPr>
              <w:spacing w:after="160" w:line="259" w:lineRule="auto"/>
              <w:rPr>
                <w:rFonts w:ascii="Calibri" w:hAnsi="Calibri" w:cs="Calibri"/>
                <w:b/>
                <w:bCs/>
              </w:rPr>
            </w:pPr>
            <w:r w:rsidRPr="00CC1A4C">
              <w:rPr>
                <w:rFonts w:ascii="Calibri" w:hAnsi="Calibri" w:cs="Calibri"/>
                <w:b/>
                <w:bCs/>
              </w:rPr>
              <w:t>Medication (structured data)</w:t>
            </w:r>
          </w:p>
        </w:tc>
        <w:tc>
          <w:tcPr>
            <w:tcW w:w="2014" w:type="dxa"/>
          </w:tcPr>
          <w:p w14:paraId="38899003" w14:textId="77777777" w:rsidR="00CC1A4C" w:rsidRPr="00CC1A4C" w:rsidRDefault="00CC1A4C" w:rsidP="00CC1A4C">
            <w:pPr>
              <w:spacing w:after="160" w:line="259" w:lineRule="auto"/>
              <w:rPr>
                <w:rFonts w:ascii="Calibri" w:hAnsi="Calibri" w:cs="Calibri"/>
                <w:b/>
                <w:bCs/>
              </w:rPr>
            </w:pPr>
            <w:r w:rsidRPr="00CC1A4C">
              <w:rPr>
                <w:rFonts w:ascii="Calibri" w:hAnsi="Calibri" w:cs="Calibri"/>
                <w:b/>
                <w:bCs/>
              </w:rPr>
              <w:t>Dossiers (unstructured data)</w:t>
            </w:r>
          </w:p>
        </w:tc>
      </w:tr>
      <w:tr w:rsidR="00CC1A4C" w:rsidRPr="00CC1A4C" w14:paraId="159854BC" w14:textId="77777777" w:rsidTr="00FF5DC0">
        <w:tc>
          <w:tcPr>
            <w:tcW w:w="1682" w:type="dxa"/>
          </w:tcPr>
          <w:p w14:paraId="4B3EDC6D" w14:textId="77777777" w:rsidR="00CC1A4C" w:rsidRPr="00CC1A4C" w:rsidRDefault="00CC1A4C" w:rsidP="00CC1A4C">
            <w:pPr>
              <w:spacing w:after="160" w:line="259" w:lineRule="auto"/>
              <w:rPr>
                <w:rFonts w:ascii="Calibri" w:hAnsi="Calibri" w:cs="Calibri"/>
              </w:rPr>
            </w:pPr>
            <w:r w:rsidRPr="00CC1A4C">
              <w:rPr>
                <w:rFonts w:ascii="Calibri" w:hAnsi="Calibri" w:cs="Calibri"/>
              </w:rPr>
              <w:t>DATES:</w:t>
            </w:r>
          </w:p>
        </w:tc>
        <w:tc>
          <w:tcPr>
            <w:tcW w:w="1921" w:type="dxa"/>
          </w:tcPr>
          <w:p w14:paraId="459B2E78" w14:textId="77777777" w:rsidR="00CC1A4C" w:rsidRPr="00CC1A4C" w:rsidRDefault="00CC1A4C" w:rsidP="00CC1A4C">
            <w:pPr>
              <w:spacing w:after="160" w:line="259" w:lineRule="auto"/>
              <w:rPr>
                <w:rFonts w:ascii="Calibri" w:hAnsi="Calibri" w:cs="Calibri"/>
              </w:rPr>
            </w:pPr>
            <w:r w:rsidRPr="00CC1A4C">
              <w:rPr>
                <w:rFonts w:ascii="Calibri" w:hAnsi="Calibri" w:cs="Calibri"/>
              </w:rPr>
              <w:t>January 2016- June 2022</w:t>
            </w:r>
          </w:p>
        </w:tc>
        <w:tc>
          <w:tcPr>
            <w:tcW w:w="1921" w:type="dxa"/>
          </w:tcPr>
          <w:p w14:paraId="6D528882" w14:textId="77777777" w:rsidR="00CC1A4C" w:rsidRPr="00CC1A4C" w:rsidRDefault="00CC1A4C" w:rsidP="00CC1A4C">
            <w:pPr>
              <w:spacing w:after="160" w:line="259" w:lineRule="auto"/>
              <w:rPr>
                <w:rFonts w:ascii="Calibri" w:hAnsi="Calibri" w:cs="Calibri"/>
              </w:rPr>
            </w:pPr>
            <w:r w:rsidRPr="00CC1A4C">
              <w:rPr>
                <w:rFonts w:ascii="Calibri" w:hAnsi="Calibri" w:cs="Calibri"/>
              </w:rPr>
              <w:t>February 1998- June 2022</w:t>
            </w:r>
          </w:p>
        </w:tc>
        <w:tc>
          <w:tcPr>
            <w:tcW w:w="1948" w:type="dxa"/>
          </w:tcPr>
          <w:p w14:paraId="124BD80B" w14:textId="77777777" w:rsidR="00CC1A4C" w:rsidRPr="00CC1A4C" w:rsidRDefault="00CC1A4C" w:rsidP="00CC1A4C">
            <w:pPr>
              <w:spacing w:after="160" w:line="259" w:lineRule="auto"/>
              <w:rPr>
                <w:rFonts w:ascii="Calibri" w:hAnsi="Calibri" w:cs="Calibri"/>
              </w:rPr>
            </w:pPr>
            <w:r w:rsidRPr="00CC1A4C">
              <w:rPr>
                <w:rFonts w:ascii="Calibri" w:hAnsi="Calibri" w:cs="Calibri"/>
              </w:rPr>
              <w:t>January 2004- January 2023</w:t>
            </w:r>
          </w:p>
        </w:tc>
        <w:tc>
          <w:tcPr>
            <w:tcW w:w="2014" w:type="dxa"/>
          </w:tcPr>
          <w:p w14:paraId="02ABD85F" w14:textId="77777777" w:rsidR="00CC1A4C" w:rsidRPr="00CC1A4C" w:rsidRDefault="00CC1A4C" w:rsidP="00CC1A4C">
            <w:pPr>
              <w:spacing w:after="160" w:line="259" w:lineRule="auto"/>
              <w:rPr>
                <w:rFonts w:ascii="Calibri" w:hAnsi="Calibri" w:cs="Calibri"/>
              </w:rPr>
            </w:pPr>
            <w:r w:rsidRPr="00CC1A4C">
              <w:rPr>
                <w:rFonts w:ascii="Calibri" w:hAnsi="Calibri" w:cs="Calibri"/>
              </w:rPr>
              <w:t>October 2006- November 2022</w:t>
            </w:r>
          </w:p>
        </w:tc>
      </w:tr>
    </w:tbl>
    <w:p w14:paraId="53CF251F" w14:textId="77777777" w:rsidR="003238DB" w:rsidRDefault="003238DB" w:rsidP="00FD1C2C">
      <w:pPr>
        <w:rPr>
          <w:rFonts w:ascii="Calibri" w:hAnsi="Calibri" w:cs="Calibri"/>
          <w:b/>
          <w:bCs/>
        </w:rPr>
      </w:pPr>
    </w:p>
    <w:p w14:paraId="6276ED61" w14:textId="077D9389" w:rsidR="003238DB" w:rsidRDefault="003238DB">
      <w:pPr>
        <w:rPr>
          <w:rFonts w:ascii="Calibri" w:hAnsi="Calibri" w:cs="Calibri"/>
          <w:b/>
          <w:bCs/>
        </w:rPr>
      </w:pPr>
      <w:r>
        <w:rPr>
          <w:rFonts w:ascii="Calibri" w:hAnsi="Calibri" w:cs="Calibri"/>
          <w:b/>
          <w:bCs/>
        </w:rPr>
        <w:br w:type="page"/>
      </w:r>
    </w:p>
    <w:p w14:paraId="77919475" w14:textId="77777777" w:rsidR="003238DB" w:rsidRDefault="003238DB" w:rsidP="00FD1C2C">
      <w:pPr>
        <w:rPr>
          <w:rFonts w:ascii="Calibri" w:hAnsi="Calibri" w:cs="Calibri"/>
          <w:b/>
          <w:bCs/>
        </w:rPr>
      </w:pPr>
    </w:p>
    <w:p w14:paraId="69842139" w14:textId="62071A30" w:rsidR="00FD1C2C" w:rsidRPr="00226703" w:rsidRDefault="00FD1C2C" w:rsidP="00FD1C2C">
      <w:pPr>
        <w:rPr>
          <w:rFonts w:ascii="Calibri" w:hAnsi="Calibri" w:cs="Calibri"/>
          <w:b/>
          <w:bCs/>
        </w:rPr>
      </w:pPr>
      <w:r w:rsidRPr="00226703">
        <w:rPr>
          <w:rFonts w:ascii="Calibri" w:hAnsi="Calibri" w:cs="Calibri"/>
          <w:b/>
          <w:bCs/>
        </w:rPr>
        <w:t xml:space="preserve">Supplementary Table </w:t>
      </w:r>
      <w:r w:rsidR="00DF07BF">
        <w:rPr>
          <w:rFonts w:ascii="Calibri" w:hAnsi="Calibri" w:cs="Calibri"/>
          <w:b/>
          <w:bCs/>
        </w:rPr>
        <w:t>3</w:t>
      </w:r>
      <w:r w:rsidRPr="00226703">
        <w:rPr>
          <w:rFonts w:ascii="Calibri" w:hAnsi="Calibri" w:cs="Calibri"/>
          <w:b/>
          <w:bCs/>
        </w:rPr>
        <w:t xml:space="preserve">. </w:t>
      </w:r>
      <w:r w:rsidR="008C2864" w:rsidRPr="00226703">
        <w:rPr>
          <w:rFonts w:ascii="Calibri" w:hAnsi="Calibri" w:cs="Calibri"/>
          <w:b/>
          <w:bCs/>
        </w:rPr>
        <w:t>Full data point list</w:t>
      </w:r>
    </w:p>
    <w:tbl>
      <w:tblPr>
        <w:tblStyle w:val="TableGridLight"/>
        <w:tblW w:w="5000" w:type="pct"/>
        <w:tblLook w:val="04A0" w:firstRow="1" w:lastRow="0" w:firstColumn="1" w:lastColumn="0" w:noHBand="0" w:noVBand="1"/>
      </w:tblPr>
      <w:tblGrid>
        <w:gridCol w:w="4675"/>
        <w:gridCol w:w="4675"/>
      </w:tblGrid>
      <w:tr w:rsidR="00FD1C2C" w:rsidRPr="00226703" w14:paraId="6C418340" w14:textId="77777777" w:rsidTr="00FF5DC0">
        <w:trPr>
          <w:trHeight w:val="300"/>
        </w:trPr>
        <w:tc>
          <w:tcPr>
            <w:tcW w:w="2500" w:type="pct"/>
          </w:tcPr>
          <w:p w14:paraId="0CFB6B84" w14:textId="77777777" w:rsidR="00FD1C2C" w:rsidRPr="00226703" w:rsidRDefault="00FD1C2C" w:rsidP="007F1EE5">
            <w:pPr>
              <w:rPr>
                <w:rFonts w:ascii="Calibri" w:eastAsia="Open Sans" w:hAnsi="Calibri" w:cs="Calibri"/>
              </w:rPr>
            </w:pPr>
            <w:r w:rsidRPr="00226703">
              <w:rPr>
                <w:rFonts w:ascii="Calibri" w:eastAsia="Open Sans" w:hAnsi="Calibri" w:cs="Calibri"/>
              </w:rPr>
              <w:t>Datapoint</w:t>
            </w:r>
          </w:p>
        </w:tc>
        <w:tc>
          <w:tcPr>
            <w:tcW w:w="2500" w:type="pct"/>
          </w:tcPr>
          <w:p w14:paraId="24585855" w14:textId="77777777" w:rsidR="00FD1C2C" w:rsidRPr="00226703" w:rsidRDefault="00FD1C2C" w:rsidP="007F1EE5">
            <w:pPr>
              <w:rPr>
                <w:rFonts w:ascii="Calibri" w:eastAsia="Open Sans" w:hAnsi="Calibri" w:cs="Calibri"/>
              </w:rPr>
            </w:pPr>
            <w:r w:rsidRPr="00226703">
              <w:rPr>
                <w:rFonts w:ascii="Calibri" w:eastAsia="Open Sans" w:hAnsi="Calibri" w:cs="Calibri"/>
              </w:rPr>
              <w:t>CUI</w:t>
            </w:r>
          </w:p>
        </w:tc>
      </w:tr>
      <w:tr w:rsidR="00FD1C2C" w:rsidRPr="00226703" w14:paraId="7403B60A" w14:textId="77777777" w:rsidTr="00FF5DC0">
        <w:trPr>
          <w:trHeight w:val="300"/>
        </w:trPr>
        <w:tc>
          <w:tcPr>
            <w:tcW w:w="2500" w:type="pct"/>
          </w:tcPr>
          <w:p w14:paraId="28552E4E"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Atezolizumab (</w:t>
            </w:r>
            <w:proofErr w:type="spellStart"/>
            <w:r w:rsidRPr="00226703">
              <w:rPr>
                <w:rFonts w:ascii="Calibri" w:eastAsia="Open Sans" w:hAnsi="Calibri" w:cs="Calibri"/>
                <w:color w:val="000000" w:themeColor="text1"/>
                <w:sz w:val="20"/>
                <w:szCs w:val="20"/>
              </w:rPr>
              <w:t>Tecentriq</w:t>
            </w:r>
            <w:proofErr w:type="spellEnd"/>
            <w:r w:rsidRPr="00226703">
              <w:rPr>
                <w:rFonts w:ascii="Calibri" w:eastAsia="Open Sans" w:hAnsi="Calibri" w:cs="Calibri"/>
                <w:color w:val="000000" w:themeColor="text1"/>
                <w:sz w:val="20"/>
                <w:szCs w:val="20"/>
              </w:rPr>
              <w:t>)</w:t>
            </w:r>
          </w:p>
        </w:tc>
        <w:tc>
          <w:tcPr>
            <w:tcW w:w="2500" w:type="pct"/>
          </w:tcPr>
          <w:p w14:paraId="66DE2A25"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C4055433</w:t>
            </w:r>
          </w:p>
        </w:tc>
      </w:tr>
      <w:tr w:rsidR="00FD1C2C" w:rsidRPr="00226703" w14:paraId="3F0457D3" w14:textId="77777777" w:rsidTr="00FF5DC0">
        <w:trPr>
          <w:trHeight w:val="300"/>
        </w:trPr>
        <w:tc>
          <w:tcPr>
            <w:tcW w:w="2500" w:type="pct"/>
          </w:tcPr>
          <w:p w14:paraId="4D6B8D5A"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Auto-immune disease</w:t>
            </w:r>
          </w:p>
        </w:tc>
        <w:tc>
          <w:tcPr>
            <w:tcW w:w="2500" w:type="pct"/>
          </w:tcPr>
          <w:p w14:paraId="321A88F1"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C0004364</w:t>
            </w:r>
          </w:p>
        </w:tc>
      </w:tr>
      <w:tr w:rsidR="00FD1C2C" w:rsidRPr="00226703" w14:paraId="7E199412" w14:textId="77777777" w:rsidTr="00FF5DC0">
        <w:trPr>
          <w:trHeight w:val="300"/>
        </w:trPr>
        <w:tc>
          <w:tcPr>
            <w:tcW w:w="2500" w:type="pct"/>
          </w:tcPr>
          <w:p w14:paraId="24A9FE10"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Avelumab (Bavencio)</w:t>
            </w:r>
          </w:p>
        </w:tc>
        <w:tc>
          <w:tcPr>
            <w:tcW w:w="2500" w:type="pct"/>
          </w:tcPr>
          <w:p w14:paraId="28847F6F"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C4055417</w:t>
            </w:r>
          </w:p>
        </w:tc>
      </w:tr>
      <w:tr w:rsidR="00FD1C2C" w:rsidRPr="00226703" w14:paraId="108B8928" w14:textId="77777777" w:rsidTr="00FF5DC0">
        <w:trPr>
          <w:trHeight w:val="300"/>
        </w:trPr>
        <w:tc>
          <w:tcPr>
            <w:tcW w:w="2500" w:type="pct"/>
          </w:tcPr>
          <w:p w14:paraId="36527312"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Breast cancer</w:t>
            </w:r>
          </w:p>
        </w:tc>
        <w:tc>
          <w:tcPr>
            <w:tcW w:w="2500" w:type="pct"/>
          </w:tcPr>
          <w:p w14:paraId="14154F2F"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C0678222, C0006142</w:t>
            </w:r>
          </w:p>
        </w:tc>
      </w:tr>
      <w:tr w:rsidR="00FD1C2C" w:rsidRPr="00226703" w14:paraId="5BBA4B39" w14:textId="77777777" w:rsidTr="00FF5DC0">
        <w:trPr>
          <w:trHeight w:val="300"/>
        </w:trPr>
        <w:tc>
          <w:tcPr>
            <w:tcW w:w="2500" w:type="pct"/>
          </w:tcPr>
          <w:p w14:paraId="54197728"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Cancer stage</w:t>
            </w:r>
          </w:p>
        </w:tc>
        <w:tc>
          <w:tcPr>
            <w:tcW w:w="2500" w:type="pct"/>
          </w:tcPr>
          <w:p w14:paraId="6FFD1923"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C0804690, C0804696, C0027646, C1300486</w:t>
            </w:r>
          </w:p>
        </w:tc>
      </w:tr>
      <w:tr w:rsidR="00FD1C2C" w:rsidRPr="00226703" w14:paraId="50C3898F" w14:textId="77777777" w:rsidTr="00FF5DC0">
        <w:trPr>
          <w:trHeight w:val="300"/>
        </w:trPr>
        <w:tc>
          <w:tcPr>
            <w:tcW w:w="2500" w:type="pct"/>
          </w:tcPr>
          <w:p w14:paraId="14E4BF1F"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Cardiovascular disease</w:t>
            </w:r>
          </w:p>
        </w:tc>
        <w:tc>
          <w:tcPr>
            <w:tcW w:w="2500" w:type="pct"/>
          </w:tcPr>
          <w:p w14:paraId="2684D3F1"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C0007222</w:t>
            </w:r>
          </w:p>
        </w:tc>
      </w:tr>
      <w:tr w:rsidR="00FD1C2C" w:rsidRPr="00226703" w14:paraId="654A5B42" w14:textId="77777777" w:rsidTr="00FF5DC0">
        <w:trPr>
          <w:trHeight w:val="300"/>
        </w:trPr>
        <w:tc>
          <w:tcPr>
            <w:tcW w:w="2500" w:type="pct"/>
          </w:tcPr>
          <w:p w14:paraId="788117F3" w14:textId="77777777" w:rsidR="00FD1C2C" w:rsidRPr="00226703" w:rsidRDefault="00FD1C2C" w:rsidP="007F1EE5">
            <w:pPr>
              <w:rPr>
                <w:rFonts w:ascii="Calibri" w:eastAsia="Open Sans" w:hAnsi="Calibri" w:cs="Calibri"/>
                <w:b/>
                <w:bCs/>
                <w:color w:val="000000" w:themeColor="text1"/>
                <w:sz w:val="20"/>
                <w:szCs w:val="20"/>
              </w:rPr>
            </w:pPr>
            <w:proofErr w:type="spellStart"/>
            <w:r w:rsidRPr="00226703">
              <w:rPr>
                <w:rFonts w:ascii="Calibri" w:eastAsia="Open Sans" w:hAnsi="Calibri" w:cs="Calibri"/>
                <w:color w:val="000000" w:themeColor="text1"/>
                <w:sz w:val="20"/>
                <w:szCs w:val="20"/>
              </w:rPr>
              <w:t>Cemiplimab</w:t>
            </w:r>
            <w:proofErr w:type="spellEnd"/>
            <w:r w:rsidRPr="00226703">
              <w:rPr>
                <w:rFonts w:ascii="Calibri" w:eastAsia="Open Sans" w:hAnsi="Calibri" w:cs="Calibri"/>
                <w:color w:val="000000" w:themeColor="text1"/>
                <w:sz w:val="20"/>
                <w:szCs w:val="20"/>
              </w:rPr>
              <w:t xml:space="preserve"> (</w:t>
            </w:r>
            <w:proofErr w:type="spellStart"/>
            <w:r w:rsidRPr="00226703">
              <w:rPr>
                <w:rFonts w:ascii="Calibri" w:eastAsia="Open Sans" w:hAnsi="Calibri" w:cs="Calibri"/>
                <w:color w:val="000000" w:themeColor="text1"/>
                <w:sz w:val="20"/>
                <w:szCs w:val="20"/>
              </w:rPr>
              <w:t>Libtayo</w:t>
            </w:r>
            <w:proofErr w:type="spellEnd"/>
            <w:r w:rsidRPr="00226703">
              <w:rPr>
                <w:rFonts w:ascii="Calibri" w:eastAsia="Open Sans" w:hAnsi="Calibri" w:cs="Calibri"/>
                <w:color w:val="000000" w:themeColor="text1"/>
                <w:sz w:val="20"/>
                <w:szCs w:val="20"/>
              </w:rPr>
              <w:t>)</w:t>
            </w:r>
          </w:p>
        </w:tc>
        <w:tc>
          <w:tcPr>
            <w:tcW w:w="2500" w:type="pct"/>
          </w:tcPr>
          <w:p w14:paraId="0B80BFCA"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C4724806</w:t>
            </w:r>
          </w:p>
        </w:tc>
      </w:tr>
      <w:tr w:rsidR="00FD1C2C" w:rsidRPr="00226703" w14:paraId="54566559" w14:textId="77777777" w:rsidTr="00FF5DC0">
        <w:trPr>
          <w:trHeight w:val="300"/>
        </w:trPr>
        <w:tc>
          <w:tcPr>
            <w:tcW w:w="2500" w:type="pct"/>
          </w:tcPr>
          <w:p w14:paraId="709BD9A0"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Colorectal carcinoma</w:t>
            </w:r>
          </w:p>
        </w:tc>
        <w:tc>
          <w:tcPr>
            <w:tcW w:w="2500" w:type="pct"/>
          </w:tcPr>
          <w:p w14:paraId="25F8C97C"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C4722085, C0009402</w:t>
            </w:r>
          </w:p>
        </w:tc>
      </w:tr>
      <w:tr w:rsidR="00FD1C2C" w:rsidRPr="00226703" w14:paraId="2EAB0FB3" w14:textId="77777777" w:rsidTr="00FF5DC0">
        <w:trPr>
          <w:trHeight w:val="300"/>
        </w:trPr>
        <w:tc>
          <w:tcPr>
            <w:tcW w:w="2500" w:type="pct"/>
          </w:tcPr>
          <w:p w14:paraId="117AF63B"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COPD</w:t>
            </w:r>
          </w:p>
        </w:tc>
        <w:tc>
          <w:tcPr>
            <w:tcW w:w="2500" w:type="pct"/>
          </w:tcPr>
          <w:p w14:paraId="3544E251"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C0024117</w:t>
            </w:r>
          </w:p>
        </w:tc>
      </w:tr>
      <w:tr w:rsidR="00FD1C2C" w:rsidRPr="00226703" w14:paraId="79A22B72" w14:textId="77777777" w:rsidTr="00FF5DC0">
        <w:trPr>
          <w:trHeight w:val="300"/>
        </w:trPr>
        <w:tc>
          <w:tcPr>
            <w:tcW w:w="2500" w:type="pct"/>
          </w:tcPr>
          <w:p w14:paraId="73860A6F"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Diabetes mellitus</w:t>
            </w:r>
          </w:p>
        </w:tc>
        <w:tc>
          <w:tcPr>
            <w:tcW w:w="2500" w:type="pct"/>
          </w:tcPr>
          <w:p w14:paraId="784B3E4E"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C0011849, C0011847</w:t>
            </w:r>
          </w:p>
        </w:tc>
      </w:tr>
      <w:tr w:rsidR="00FD1C2C" w:rsidRPr="00226703" w14:paraId="62DD080C" w14:textId="77777777" w:rsidTr="00FF5DC0">
        <w:trPr>
          <w:trHeight w:val="300"/>
        </w:trPr>
        <w:tc>
          <w:tcPr>
            <w:tcW w:w="2500" w:type="pct"/>
          </w:tcPr>
          <w:p w14:paraId="5D69B105" w14:textId="77777777" w:rsidR="00FD1C2C" w:rsidRPr="00226703" w:rsidRDefault="00FD1C2C" w:rsidP="007F1EE5">
            <w:pPr>
              <w:rPr>
                <w:rFonts w:ascii="Calibri" w:eastAsia="Open Sans" w:hAnsi="Calibri" w:cs="Calibri"/>
                <w:b/>
                <w:bCs/>
                <w:color w:val="000000" w:themeColor="text1"/>
                <w:sz w:val="20"/>
                <w:szCs w:val="20"/>
              </w:rPr>
            </w:pPr>
            <w:proofErr w:type="spellStart"/>
            <w:r w:rsidRPr="00226703">
              <w:rPr>
                <w:rFonts w:ascii="Calibri" w:eastAsia="Open Sans" w:hAnsi="Calibri" w:cs="Calibri"/>
                <w:color w:val="000000" w:themeColor="text1"/>
                <w:sz w:val="20"/>
                <w:szCs w:val="20"/>
              </w:rPr>
              <w:t>Dostarlimab</w:t>
            </w:r>
            <w:proofErr w:type="spellEnd"/>
            <w:r w:rsidRPr="00226703">
              <w:rPr>
                <w:rFonts w:ascii="Calibri" w:eastAsia="Open Sans" w:hAnsi="Calibri" w:cs="Calibri"/>
                <w:color w:val="000000" w:themeColor="text1"/>
                <w:sz w:val="20"/>
                <w:szCs w:val="20"/>
              </w:rPr>
              <w:t xml:space="preserve"> (</w:t>
            </w:r>
            <w:proofErr w:type="spellStart"/>
            <w:r w:rsidRPr="00226703">
              <w:rPr>
                <w:rFonts w:ascii="Calibri" w:eastAsia="Open Sans" w:hAnsi="Calibri" w:cs="Calibri"/>
                <w:color w:val="000000" w:themeColor="text1"/>
                <w:sz w:val="20"/>
                <w:szCs w:val="20"/>
              </w:rPr>
              <w:t>Jemperli</w:t>
            </w:r>
            <w:proofErr w:type="spellEnd"/>
            <w:r w:rsidRPr="00226703">
              <w:rPr>
                <w:rFonts w:ascii="Calibri" w:eastAsia="Open Sans" w:hAnsi="Calibri" w:cs="Calibri"/>
                <w:color w:val="000000" w:themeColor="text1"/>
                <w:sz w:val="20"/>
                <w:szCs w:val="20"/>
              </w:rPr>
              <w:t>)</w:t>
            </w:r>
          </w:p>
        </w:tc>
        <w:tc>
          <w:tcPr>
            <w:tcW w:w="2500" w:type="pct"/>
          </w:tcPr>
          <w:p w14:paraId="3AB8E95A"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C5242455</w:t>
            </w:r>
          </w:p>
        </w:tc>
      </w:tr>
      <w:tr w:rsidR="00FD1C2C" w:rsidRPr="00226703" w14:paraId="4DB47F23" w14:textId="77777777" w:rsidTr="00FF5DC0">
        <w:trPr>
          <w:trHeight w:val="300"/>
        </w:trPr>
        <w:tc>
          <w:tcPr>
            <w:tcW w:w="2500" w:type="pct"/>
          </w:tcPr>
          <w:p w14:paraId="548A92D8"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Durvalumab (Imfinzi)</w:t>
            </w:r>
          </w:p>
        </w:tc>
        <w:tc>
          <w:tcPr>
            <w:tcW w:w="2500" w:type="pct"/>
          </w:tcPr>
          <w:p w14:paraId="6330442E"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C4473954, C4055109</w:t>
            </w:r>
          </w:p>
        </w:tc>
      </w:tr>
      <w:tr w:rsidR="00FD1C2C" w:rsidRPr="00226703" w14:paraId="047D426C" w14:textId="77777777" w:rsidTr="00FF5DC0">
        <w:trPr>
          <w:trHeight w:val="300"/>
        </w:trPr>
        <w:tc>
          <w:tcPr>
            <w:tcW w:w="2500" w:type="pct"/>
          </w:tcPr>
          <w:p w14:paraId="207E472C"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ECOG performance status</w:t>
            </w:r>
          </w:p>
        </w:tc>
        <w:tc>
          <w:tcPr>
            <w:tcW w:w="2500" w:type="pct"/>
          </w:tcPr>
          <w:p w14:paraId="277D1437"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C1520224, C1828127</w:t>
            </w:r>
          </w:p>
        </w:tc>
      </w:tr>
      <w:tr w:rsidR="00FD1C2C" w:rsidRPr="00226703" w14:paraId="0463E1F8" w14:textId="77777777" w:rsidTr="00FF5DC0">
        <w:trPr>
          <w:trHeight w:val="300"/>
        </w:trPr>
        <w:tc>
          <w:tcPr>
            <w:tcW w:w="2500" w:type="pct"/>
          </w:tcPr>
          <w:p w14:paraId="5469E4CD"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Endometrial cancer</w:t>
            </w:r>
          </w:p>
        </w:tc>
        <w:tc>
          <w:tcPr>
            <w:tcW w:w="2500" w:type="pct"/>
          </w:tcPr>
          <w:p w14:paraId="7D7B75D2"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C0014170</w:t>
            </w:r>
          </w:p>
        </w:tc>
      </w:tr>
      <w:tr w:rsidR="00FD1C2C" w:rsidRPr="00226703" w14:paraId="74919548" w14:textId="77777777" w:rsidTr="00FF5DC0">
        <w:trPr>
          <w:trHeight w:val="300"/>
        </w:trPr>
        <w:tc>
          <w:tcPr>
            <w:tcW w:w="2500" w:type="pct"/>
          </w:tcPr>
          <w:p w14:paraId="06E09122"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Esophageal carcinoma</w:t>
            </w:r>
          </w:p>
        </w:tc>
        <w:tc>
          <w:tcPr>
            <w:tcW w:w="2500" w:type="pct"/>
          </w:tcPr>
          <w:p w14:paraId="702C7501"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C0152018, C0346619</w:t>
            </w:r>
          </w:p>
        </w:tc>
      </w:tr>
      <w:tr w:rsidR="00FD1C2C" w:rsidRPr="00226703" w14:paraId="19FEA1B9" w14:textId="77777777" w:rsidTr="00FF5DC0">
        <w:trPr>
          <w:trHeight w:val="300"/>
        </w:trPr>
        <w:tc>
          <w:tcPr>
            <w:tcW w:w="2500" w:type="pct"/>
          </w:tcPr>
          <w:p w14:paraId="1018D6FB"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Head and neck cancer</w:t>
            </w:r>
          </w:p>
        </w:tc>
        <w:tc>
          <w:tcPr>
            <w:tcW w:w="2500" w:type="pct"/>
          </w:tcPr>
          <w:p w14:paraId="23FC1D59"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C0278996</w:t>
            </w:r>
          </w:p>
        </w:tc>
      </w:tr>
      <w:tr w:rsidR="00FD1C2C" w:rsidRPr="00226703" w14:paraId="7FC729FD" w14:textId="77777777" w:rsidTr="00FF5DC0">
        <w:trPr>
          <w:trHeight w:val="300"/>
        </w:trPr>
        <w:tc>
          <w:tcPr>
            <w:tcW w:w="2500" w:type="pct"/>
          </w:tcPr>
          <w:p w14:paraId="588EE722"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Lung cancer</w:t>
            </w:r>
          </w:p>
        </w:tc>
        <w:tc>
          <w:tcPr>
            <w:tcW w:w="2500" w:type="pct"/>
          </w:tcPr>
          <w:p w14:paraId="7D45F4A4"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C0242379</w:t>
            </w:r>
          </w:p>
        </w:tc>
      </w:tr>
      <w:tr w:rsidR="00FD1C2C" w:rsidRPr="00226703" w14:paraId="61ED36F5" w14:textId="77777777" w:rsidTr="00FF5DC0">
        <w:trPr>
          <w:trHeight w:val="300"/>
        </w:trPr>
        <w:tc>
          <w:tcPr>
            <w:tcW w:w="2500" w:type="pct"/>
          </w:tcPr>
          <w:p w14:paraId="16A2DD34"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Melanoma</w:t>
            </w:r>
          </w:p>
        </w:tc>
        <w:tc>
          <w:tcPr>
            <w:tcW w:w="2500" w:type="pct"/>
          </w:tcPr>
          <w:p w14:paraId="010CC4F9"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C0025202, C0346040</w:t>
            </w:r>
          </w:p>
        </w:tc>
      </w:tr>
      <w:tr w:rsidR="00FD1C2C" w:rsidRPr="00226703" w14:paraId="3856C4D9" w14:textId="77777777" w:rsidTr="00FF5DC0">
        <w:trPr>
          <w:trHeight w:val="300"/>
        </w:trPr>
        <w:tc>
          <w:tcPr>
            <w:tcW w:w="2500" w:type="pct"/>
          </w:tcPr>
          <w:p w14:paraId="64623F2D"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Metastatic neoplasm</w:t>
            </w:r>
          </w:p>
        </w:tc>
        <w:tc>
          <w:tcPr>
            <w:tcW w:w="2500" w:type="pct"/>
          </w:tcPr>
          <w:p w14:paraId="281E956A"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C2939419, C2939420</w:t>
            </w:r>
          </w:p>
        </w:tc>
      </w:tr>
      <w:tr w:rsidR="00FD1C2C" w:rsidRPr="00226703" w14:paraId="32ADA42F" w14:textId="77777777" w:rsidTr="00FF5DC0">
        <w:trPr>
          <w:trHeight w:val="300"/>
        </w:trPr>
        <w:tc>
          <w:tcPr>
            <w:tcW w:w="2500" w:type="pct"/>
          </w:tcPr>
          <w:p w14:paraId="73CA7B4A"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Metastatic stage (M)</w:t>
            </w:r>
          </w:p>
        </w:tc>
        <w:tc>
          <w:tcPr>
            <w:tcW w:w="2500" w:type="pct"/>
          </w:tcPr>
          <w:p w14:paraId="39E8CA82"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C0456533</w:t>
            </w:r>
          </w:p>
        </w:tc>
      </w:tr>
      <w:tr w:rsidR="00FD1C2C" w:rsidRPr="00226703" w14:paraId="7A7B23D5" w14:textId="77777777" w:rsidTr="00FF5DC0">
        <w:trPr>
          <w:trHeight w:val="300"/>
        </w:trPr>
        <w:tc>
          <w:tcPr>
            <w:tcW w:w="2500" w:type="pct"/>
          </w:tcPr>
          <w:p w14:paraId="4A807970"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Nivolumab (Opdivo)</w:t>
            </w:r>
          </w:p>
        </w:tc>
        <w:tc>
          <w:tcPr>
            <w:tcW w:w="2500" w:type="pct"/>
          </w:tcPr>
          <w:p w14:paraId="3DBF99C6"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C3657270</w:t>
            </w:r>
          </w:p>
        </w:tc>
      </w:tr>
      <w:tr w:rsidR="00FD1C2C" w:rsidRPr="00226703" w14:paraId="42F271DA" w14:textId="77777777" w:rsidTr="00FF5DC0">
        <w:trPr>
          <w:trHeight w:val="300"/>
        </w:trPr>
        <w:tc>
          <w:tcPr>
            <w:tcW w:w="2500" w:type="pct"/>
          </w:tcPr>
          <w:p w14:paraId="611A9997"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Non-squamous non-small cell lung cancer</w:t>
            </w:r>
          </w:p>
        </w:tc>
        <w:tc>
          <w:tcPr>
            <w:tcW w:w="2500" w:type="pct"/>
          </w:tcPr>
          <w:p w14:paraId="54830F65"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C2585890</w:t>
            </w:r>
          </w:p>
        </w:tc>
      </w:tr>
      <w:tr w:rsidR="00FD1C2C" w:rsidRPr="00226703" w14:paraId="3F615F8B" w14:textId="77777777" w:rsidTr="00FF5DC0">
        <w:trPr>
          <w:trHeight w:val="300"/>
        </w:trPr>
        <w:tc>
          <w:tcPr>
            <w:tcW w:w="2500" w:type="pct"/>
          </w:tcPr>
          <w:p w14:paraId="6A06A211"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Pembrolizumab (Pembrolizumab)</w:t>
            </w:r>
          </w:p>
        </w:tc>
        <w:tc>
          <w:tcPr>
            <w:tcW w:w="2500" w:type="pct"/>
          </w:tcPr>
          <w:p w14:paraId="1B845945"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C3658706, C3855203</w:t>
            </w:r>
          </w:p>
        </w:tc>
      </w:tr>
      <w:tr w:rsidR="00FD1C2C" w:rsidRPr="00226703" w14:paraId="6949B150" w14:textId="77777777" w:rsidTr="00FF5DC0">
        <w:trPr>
          <w:trHeight w:val="300"/>
        </w:trPr>
        <w:tc>
          <w:tcPr>
            <w:tcW w:w="2500" w:type="pct"/>
          </w:tcPr>
          <w:p w14:paraId="159B292C"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Renal cell carcinoma</w:t>
            </w:r>
          </w:p>
        </w:tc>
        <w:tc>
          <w:tcPr>
            <w:tcW w:w="2500" w:type="pct"/>
          </w:tcPr>
          <w:p w14:paraId="7C873002"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C1266044, C0279702, C0007134</w:t>
            </w:r>
          </w:p>
        </w:tc>
      </w:tr>
      <w:tr w:rsidR="00FD1C2C" w:rsidRPr="00226703" w14:paraId="612D4CD1" w14:textId="77777777" w:rsidTr="00FF5DC0">
        <w:trPr>
          <w:trHeight w:val="300"/>
        </w:trPr>
        <w:tc>
          <w:tcPr>
            <w:tcW w:w="2500" w:type="pct"/>
          </w:tcPr>
          <w:p w14:paraId="4B243C2E"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Squamous non-small cell lung cancer</w:t>
            </w:r>
          </w:p>
        </w:tc>
        <w:tc>
          <w:tcPr>
            <w:tcW w:w="2500" w:type="pct"/>
          </w:tcPr>
          <w:p w14:paraId="48257CB0"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C0149782, C4509816</w:t>
            </w:r>
          </w:p>
        </w:tc>
      </w:tr>
      <w:tr w:rsidR="00FD1C2C" w:rsidRPr="00226703" w14:paraId="279D838C" w14:textId="77777777" w:rsidTr="00FF5DC0">
        <w:trPr>
          <w:trHeight w:val="300"/>
        </w:trPr>
        <w:tc>
          <w:tcPr>
            <w:tcW w:w="2500" w:type="pct"/>
          </w:tcPr>
          <w:p w14:paraId="21E8E8CF"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Tobacco smoking status</w:t>
            </w:r>
          </w:p>
        </w:tc>
        <w:tc>
          <w:tcPr>
            <w:tcW w:w="2500" w:type="pct"/>
          </w:tcPr>
          <w:p w14:paraId="7F3822D7"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C0453996</w:t>
            </w:r>
          </w:p>
        </w:tc>
      </w:tr>
      <w:tr w:rsidR="00FD1C2C" w:rsidRPr="00226703" w14:paraId="547EEAFB" w14:textId="77777777" w:rsidTr="00FF5DC0">
        <w:trPr>
          <w:trHeight w:val="300"/>
        </w:trPr>
        <w:tc>
          <w:tcPr>
            <w:tcW w:w="2500" w:type="pct"/>
          </w:tcPr>
          <w:p w14:paraId="60CC6BFF"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Transitional cell carcinoma of bladder</w:t>
            </w:r>
          </w:p>
        </w:tc>
        <w:tc>
          <w:tcPr>
            <w:tcW w:w="2500" w:type="pct"/>
          </w:tcPr>
          <w:p w14:paraId="1D58032F"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C0279680</w:t>
            </w:r>
          </w:p>
        </w:tc>
      </w:tr>
      <w:tr w:rsidR="00FD1C2C" w:rsidRPr="00226703" w14:paraId="61F62958" w14:textId="77777777" w:rsidTr="00FF5DC0">
        <w:trPr>
          <w:trHeight w:val="300"/>
        </w:trPr>
        <w:tc>
          <w:tcPr>
            <w:tcW w:w="2500" w:type="pct"/>
          </w:tcPr>
          <w:p w14:paraId="24096EE9"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Transitional cell carcinoma of kidney</w:t>
            </w:r>
          </w:p>
        </w:tc>
        <w:tc>
          <w:tcPr>
            <w:tcW w:w="2500" w:type="pct"/>
          </w:tcPr>
          <w:p w14:paraId="18F09E50"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C1319314</w:t>
            </w:r>
          </w:p>
        </w:tc>
      </w:tr>
      <w:tr w:rsidR="00FD1C2C" w:rsidRPr="00226703" w14:paraId="49281F31" w14:textId="77777777" w:rsidTr="00FF5DC0">
        <w:trPr>
          <w:trHeight w:val="300"/>
        </w:trPr>
        <w:tc>
          <w:tcPr>
            <w:tcW w:w="2500" w:type="pct"/>
          </w:tcPr>
          <w:p w14:paraId="3B9CFD58"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Transitional cell carcinoma of ureter</w:t>
            </w:r>
          </w:p>
        </w:tc>
        <w:tc>
          <w:tcPr>
            <w:tcW w:w="2500" w:type="pct"/>
          </w:tcPr>
          <w:p w14:paraId="10AFF3C9"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C0577692</w:t>
            </w:r>
          </w:p>
        </w:tc>
      </w:tr>
      <w:tr w:rsidR="00FD1C2C" w:rsidRPr="00226703" w14:paraId="0A35C27F" w14:textId="77777777" w:rsidTr="00FF5DC0">
        <w:trPr>
          <w:trHeight w:val="300"/>
        </w:trPr>
        <w:tc>
          <w:tcPr>
            <w:tcW w:w="2500" w:type="pct"/>
          </w:tcPr>
          <w:p w14:paraId="234164FB"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Urothelial carcinoma</w:t>
            </w:r>
          </w:p>
        </w:tc>
        <w:tc>
          <w:tcPr>
            <w:tcW w:w="2500" w:type="pct"/>
          </w:tcPr>
          <w:p w14:paraId="1ECBC448"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C0279680, C0007138, C4288754</w:t>
            </w:r>
          </w:p>
        </w:tc>
      </w:tr>
      <w:tr w:rsidR="00FD1C2C" w:rsidRPr="00226703" w14:paraId="6298C163" w14:textId="77777777" w:rsidTr="00FF5DC0">
        <w:trPr>
          <w:trHeight w:val="300"/>
        </w:trPr>
        <w:tc>
          <w:tcPr>
            <w:tcW w:w="2500" w:type="pct"/>
          </w:tcPr>
          <w:p w14:paraId="4B73286D" w14:textId="77777777" w:rsidR="00FD1C2C" w:rsidRPr="00226703" w:rsidRDefault="00FD1C2C" w:rsidP="007F1EE5">
            <w:pPr>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WHO performance status</w:t>
            </w:r>
          </w:p>
        </w:tc>
        <w:tc>
          <w:tcPr>
            <w:tcW w:w="2500" w:type="pct"/>
          </w:tcPr>
          <w:p w14:paraId="1BE2B079" w14:textId="77777777" w:rsidR="00FD1C2C" w:rsidRPr="00226703" w:rsidRDefault="00FD1C2C" w:rsidP="007F1EE5">
            <w:pPr>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C1298651</w:t>
            </w:r>
          </w:p>
        </w:tc>
      </w:tr>
      <w:tr w:rsidR="00FD1C2C" w:rsidRPr="00226703" w14:paraId="59CBE3D1" w14:textId="77777777" w:rsidTr="00FF5DC0">
        <w:trPr>
          <w:trHeight w:val="360"/>
        </w:trPr>
        <w:tc>
          <w:tcPr>
            <w:tcW w:w="2500" w:type="pct"/>
          </w:tcPr>
          <w:p w14:paraId="193FCBFB" w14:textId="77777777" w:rsidR="00FD1C2C" w:rsidRPr="00226703" w:rsidRDefault="00FD1C2C" w:rsidP="007F1EE5">
            <w:pPr>
              <w:spacing w:line="312" w:lineRule="auto"/>
              <w:rPr>
                <w:rFonts w:ascii="Calibri" w:eastAsia="Open Sans" w:hAnsi="Calibri" w:cs="Calibri"/>
                <w:b/>
                <w:bCs/>
                <w:color w:val="000000" w:themeColor="text1"/>
                <w:sz w:val="20"/>
                <w:szCs w:val="20"/>
              </w:rPr>
            </w:pPr>
            <w:r w:rsidRPr="00226703">
              <w:rPr>
                <w:rFonts w:ascii="Calibri" w:eastAsia="Open Sans" w:hAnsi="Calibri" w:cs="Calibri"/>
                <w:color w:val="000000" w:themeColor="text1"/>
                <w:sz w:val="20"/>
                <w:szCs w:val="20"/>
              </w:rPr>
              <w:t>Karnofsky Performance Status</w:t>
            </w:r>
          </w:p>
        </w:tc>
        <w:tc>
          <w:tcPr>
            <w:tcW w:w="2500" w:type="pct"/>
          </w:tcPr>
          <w:p w14:paraId="3F812DEE" w14:textId="77777777" w:rsidR="00FD1C2C" w:rsidRPr="00226703" w:rsidRDefault="00FD1C2C" w:rsidP="007F1EE5">
            <w:pPr>
              <w:spacing w:line="312" w:lineRule="auto"/>
              <w:rPr>
                <w:rFonts w:ascii="Calibri" w:eastAsia="Open Sans" w:hAnsi="Calibri" w:cs="Calibri"/>
                <w:color w:val="000000" w:themeColor="text1"/>
                <w:sz w:val="20"/>
                <w:szCs w:val="20"/>
              </w:rPr>
            </w:pPr>
            <w:r w:rsidRPr="00226703">
              <w:rPr>
                <w:rFonts w:ascii="Calibri" w:eastAsia="Open Sans" w:hAnsi="Calibri" w:cs="Calibri"/>
                <w:color w:val="000000" w:themeColor="text1"/>
                <w:sz w:val="20"/>
                <w:szCs w:val="20"/>
              </w:rPr>
              <w:t>C0206065</w:t>
            </w:r>
          </w:p>
        </w:tc>
      </w:tr>
    </w:tbl>
    <w:p w14:paraId="7DEFB964" w14:textId="3ED724A1" w:rsidR="00EF5658" w:rsidRDefault="00EF5658" w:rsidP="00FD1C2C">
      <w:pPr>
        <w:rPr>
          <w:rFonts w:ascii="Calibri" w:hAnsi="Calibri" w:cs="Calibri"/>
        </w:rPr>
      </w:pPr>
    </w:p>
    <w:p w14:paraId="5EA4FD8B" w14:textId="77777777" w:rsidR="00EF5658" w:rsidRDefault="00EF5658">
      <w:pPr>
        <w:rPr>
          <w:rFonts w:ascii="Calibri" w:hAnsi="Calibri" w:cs="Calibri"/>
        </w:rPr>
      </w:pPr>
      <w:r>
        <w:rPr>
          <w:rFonts w:ascii="Calibri" w:hAnsi="Calibri" w:cs="Calibri"/>
        </w:rPr>
        <w:br w:type="page"/>
      </w:r>
    </w:p>
    <w:p w14:paraId="2BE1CBF7" w14:textId="0BEB633D" w:rsidR="00FD1C2C" w:rsidRPr="00226703" w:rsidRDefault="00FD1C2C" w:rsidP="00FD1C2C">
      <w:pPr>
        <w:rPr>
          <w:rFonts w:ascii="Calibri" w:hAnsi="Calibri" w:cs="Calibri"/>
          <w:b/>
          <w:bCs/>
        </w:rPr>
      </w:pPr>
      <w:r w:rsidRPr="00226703">
        <w:rPr>
          <w:rFonts w:ascii="Calibri" w:hAnsi="Calibri" w:cs="Calibri"/>
          <w:b/>
          <w:bCs/>
        </w:rPr>
        <w:lastRenderedPageBreak/>
        <w:t xml:space="preserve">Supplementary Table </w:t>
      </w:r>
      <w:r w:rsidR="00DF07BF">
        <w:rPr>
          <w:rFonts w:ascii="Calibri" w:hAnsi="Calibri" w:cs="Calibri"/>
          <w:b/>
          <w:bCs/>
        </w:rPr>
        <w:t>4</w:t>
      </w:r>
      <w:r w:rsidRPr="00226703">
        <w:rPr>
          <w:rFonts w:ascii="Calibri" w:hAnsi="Calibri" w:cs="Calibri"/>
          <w:b/>
          <w:bCs/>
        </w:rPr>
        <w:t>.</w:t>
      </w:r>
      <w:r w:rsidR="008C2864" w:rsidRPr="00226703">
        <w:rPr>
          <w:rFonts w:ascii="Calibri" w:hAnsi="Calibri" w:cs="Calibri"/>
          <w:b/>
          <w:bCs/>
        </w:rPr>
        <w:t xml:space="preserve"> Data dictionary</w:t>
      </w:r>
    </w:p>
    <w:tbl>
      <w:tblPr>
        <w:tblStyle w:val="TableGridLight"/>
        <w:tblW w:w="0" w:type="auto"/>
        <w:tblLook w:val="04A0" w:firstRow="1" w:lastRow="0" w:firstColumn="1" w:lastColumn="0" w:noHBand="0" w:noVBand="1"/>
      </w:tblPr>
      <w:tblGrid>
        <w:gridCol w:w="1497"/>
        <w:gridCol w:w="1678"/>
        <w:gridCol w:w="1103"/>
        <w:gridCol w:w="3186"/>
        <w:gridCol w:w="1104"/>
      </w:tblGrid>
      <w:tr w:rsidR="00FD1C2C" w:rsidRPr="00226703" w14:paraId="2562101B" w14:textId="77777777" w:rsidTr="00FF5DC0">
        <w:trPr>
          <w:tblHeader/>
        </w:trPr>
        <w:tc>
          <w:tcPr>
            <w:tcW w:w="1497" w:type="dxa"/>
          </w:tcPr>
          <w:p w14:paraId="105A9621"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Variable</w:t>
            </w:r>
          </w:p>
        </w:tc>
        <w:tc>
          <w:tcPr>
            <w:tcW w:w="1678" w:type="dxa"/>
          </w:tcPr>
          <w:p w14:paraId="7E3E29D4"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Datapoint</w:t>
            </w:r>
          </w:p>
        </w:tc>
        <w:tc>
          <w:tcPr>
            <w:tcW w:w="1103" w:type="dxa"/>
          </w:tcPr>
          <w:p w14:paraId="31D7B2E9"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Objective</w:t>
            </w:r>
          </w:p>
        </w:tc>
        <w:tc>
          <w:tcPr>
            <w:tcW w:w="3186" w:type="dxa"/>
          </w:tcPr>
          <w:p w14:paraId="3AF76917"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Calculation logic</w:t>
            </w:r>
          </w:p>
        </w:tc>
        <w:tc>
          <w:tcPr>
            <w:tcW w:w="1104" w:type="dxa"/>
          </w:tcPr>
          <w:p w14:paraId="4087660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Source</w:t>
            </w:r>
          </w:p>
        </w:tc>
      </w:tr>
      <w:tr w:rsidR="00FD1C2C" w:rsidRPr="00226703" w14:paraId="5BDB3EF7" w14:textId="77777777" w:rsidTr="00FF5DC0">
        <w:tc>
          <w:tcPr>
            <w:tcW w:w="1497" w:type="dxa"/>
          </w:tcPr>
          <w:p w14:paraId="3E10B56C"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Pembrolizumab start date (index event)</w:t>
            </w:r>
          </w:p>
        </w:tc>
        <w:tc>
          <w:tcPr>
            <w:tcW w:w="1678" w:type="dxa"/>
          </w:tcPr>
          <w:p w14:paraId="220CD35E"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Pembrolizumab (Pembrolizumab)</w:t>
            </w:r>
          </w:p>
        </w:tc>
        <w:tc>
          <w:tcPr>
            <w:tcW w:w="1103" w:type="dxa"/>
          </w:tcPr>
          <w:p w14:paraId="61157C89" w14:textId="77777777" w:rsidR="00FD1C2C" w:rsidRPr="00226703" w:rsidRDefault="00FD1C2C" w:rsidP="007F1EE5">
            <w:pPr>
              <w:shd w:val="clear" w:color="auto" w:fill="FFFFFF" w:themeFill="background1"/>
              <w:rPr>
                <w:rFonts w:ascii="Calibri" w:hAnsi="Calibri" w:cs="Calibri"/>
                <w:sz w:val="20"/>
                <w:lang w:val="it-IT"/>
              </w:rPr>
            </w:pPr>
            <w:r w:rsidRPr="00226703">
              <w:rPr>
                <w:rFonts w:ascii="Calibri" w:hAnsi="Calibri" w:cs="Calibri"/>
                <w:sz w:val="20"/>
                <w:lang w:val="it-IT"/>
              </w:rPr>
              <w:t>Inclusion/ exclusion criteria (I/E)</w:t>
            </w:r>
          </w:p>
        </w:tc>
        <w:tc>
          <w:tcPr>
            <w:tcW w:w="3186" w:type="dxa"/>
          </w:tcPr>
          <w:p w14:paraId="1057873D"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 xml:space="preserve">The start date of Pembrolizumab (index event) was calculated as the first administration. The difference between consecutive administrations was calculated. When the difference between two administrations was larger than 120 days, the patient was considered to have restarted the treatment (i.e., rechallenge). </w:t>
            </w:r>
          </w:p>
        </w:tc>
        <w:tc>
          <w:tcPr>
            <w:tcW w:w="1104" w:type="dxa"/>
          </w:tcPr>
          <w:p w14:paraId="08EBDF1E"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04D9528B" w14:textId="77777777" w:rsidTr="00FF5DC0">
        <w:tc>
          <w:tcPr>
            <w:tcW w:w="1497" w:type="dxa"/>
          </w:tcPr>
          <w:p w14:paraId="050B64F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Age at index</w:t>
            </w:r>
          </w:p>
        </w:tc>
        <w:tc>
          <w:tcPr>
            <w:tcW w:w="1678" w:type="dxa"/>
          </w:tcPr>
          <w:p w14:paraId="212E474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w:t>
            </w:r>
          </w:p>
        </w:tc>
        <w:tc>
          <w:tcPr>
            <w:tcW w:w="1103" w:type="dxa"/>
          </w:tcPr>
          <w:p w14:paraId="0770606F"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I/E</w:t>
            </w:r>
          </w:p>
        </w:tc>
        <w:tc>
          <w:tcPr>
            <w:tcW w:w="3186" w:type="dxa"/>
          </w:tcPr>
          <w:p w14:paraId="7D30314D"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Calculated as the difference in years between index event date (Pembrolizumab start date) and patient’s date of birth (OMOP person table)</w:t>
            </w:r>
          </w:p>
        </w:tc>
        <w:tc>
          <w:tcPr>
            <w:tcW w:w="1104" w:type="dxa"/>
          </w:tcPr>
          <w:p w14:paraId="3CE052E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6BC4BF18" w14:textId="77777777" w:rsidTr="00FF5DC0">
        <w:trPr>
          <w:trHeight w:val="645"/>
        </w:trPr>
        <w:tc>
          <w:tcPr>
            <w:tcW w:w="1497" w:type="dxa"/>
            <w:vMerge w:val="restart"/>
          </w:tcPr>
          <w:p w14:paraId="2040642F"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Prior exposure to anti-PD1/PD-L1</w:t>
            </w:r>
          </w:p>
        </w:tc>
        <w:tc>
          <w:tcPr>
            <w:tcW w:w="1678" w:type="dxa"/>
          </w:tcPr>
          <w:p w14:paraId="61500FB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Pembrolizumab (Pembrolizumab)</w:t>
            </w:r>
          </w:p>
        </w:tc>
        <w:tc>
          <w:tcPr>
            <w:tcW w:w="1103" w:type="dxa"/>
          </w:tcPr>
          <w:p w14:paraId="577741CF"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val="restart"/>
          </w:tcPr>
          <w:p w14:paraId="15247EB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 xml:space="preserve">A patient was considered to have had prior exposure to anti-PD1/PD-L1 treatment when at least 1 administration of at least one of the listed datapoints in the pre-index period (6 months prior to index event) was present. </w:t>
            </w:r>
          </w:p>
          <w:p w14:paraId="341ED8A6" w14:textId="77777777" w:rsidR="00FD1C2C" w:rsidRPr="00226703" w:rsidRDefault="00FD1C2C" w:rsidP="007F1EE5">
            <w:pPr>
              <w:shd w:val="clear" w:color="auto" w:fill="FFFFFF"/>
              <w:rPr>
                <w:rFonts w:ascii="Calibri" w:hAnsi="Calibri" w:cs="Calibri"/>
                <w:sz w:val="20"/>
                <w:szCs w:val="20"/>
              </w:rPr>
            </w:pPr>
          </w:p>
        </w:tc>
        <w:tc>
          <w:tcPr>
            <w:tcW w:w="1104" w:type="dxa"/>
            <w:vMerge w:val="restart"/>
          </w:tcPr>
          <w:p w14:paraId="1E6A36CB"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5558BE52" w14:textId="77777777" w:rsidTr="00FF5DC0">
        <w:trPr>
          <w:trHeight w:val="645"/>
        </w:trPr>
        <w:tc>
          <w:tcPr>
            <w:tcW w:w="1497" w:type="dxa"/>
            <w:vMerge/>
          </w:tcPr>
          <w:p w14:paraId="75E3E225" w14:textId="77777777" w:rsidR="00FD1C2C" w:rsidRPr="00226703" w:rsidRDefault="00FD1C2C" w:rsidP="007F1EE5">
            <w:pPr>
              <w:rPr>
                <w:rFonts w:ascii="Calibri" w:hAnsi="Calibri" w:cs="Calibri"/>
                <w:sz w:val="20"/>
                <w:szCs w:val="20"/>
              </w:rPr>
            </w:pPr>
          </w:p>
        </w:tc>
        <w:tc>
          <w:tcPr>
            <w:tcW w:w="1678" w:type="dxa"/>
          </w:tcPr>
          <w:p w14:paraId="42678AF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Atezolizumab (</w:t>
            </w:r>
            <w:proofErr w:type="spellStart"/>
            <w:r w:rsidRPr="00226703">
              <w:rPr>
                <w:rFonts w:ascii="Calibri" w:hAnsi="Calibri" w:cs="Calibri"/>
                <w:sz w:val="20"/>
                <w:szCs w:val="20"/>
              </w:rPr>
              <w:t>Tecentriq</w:t>
            </w:r>
            <w:proofErr w:type="spellEnd"/>
            <w:r w:rsidRPr="00226703">
              <w:rPr>
                <w:rFonts w:ascii="Calibri" w:hAnsi="Calibri" w:cs="Calibri"/>
                <w:sz w:val="20"/>
                <w:szCs w:val="20"/>
              </w:rPr>
              <w:t>)</w:t>
            </w:r>
          </w:p>
        </w:tc>
        <w:tc>
          <w:tcPr>
            <w:tcW w:w="1103" w:type="dxa"/>
          </w:tcPr>
          <w:p w14:paraId="194B2ABB"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73B30B37"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6C24188" w14:textId="77777777" w:rsidR="00FD1C2C" w:rsidRPr="00226703" w:rsidRDefault="00FD1C2C" w:rsidP="007F1EE5">
            <w:pPr>
              <w:rPr>
                <w:rFonts w:ascii="Calibri" w:hAnsi="Calibri" w:cs="Calibri"/>
                <w:sz w:val="20"/>
                <w:szCs w:val="20"/>
              </w:rPr>
            </w:pPr>
          </w:p>
        </w:tc>
      </w:tr>
      <w:tr w:rsidR="00FD1C2C" w:rsidRPr="00226703" w14:paraId="406F74BD" w14:textId="77777777" w:rsidTr="00FF5DC0">
        <w:tc>
          <w:tcPr>
            <w:tcW w:w="1497" w:type="dxa"/>
            <w:vMerge/>
          </w:tcPr>
          <w:p w14:paraId="488A274E" w14:textId="77777777" w:rsidR="00FD1C2C" w:rsidRPr="00226703" w:rsidRDefault="00FD1C2C" w:rsidP="007F1EE5">
            <w:pPr>
              <w:rPr>
                <w:rFonts w:ascii="Calibri" w:hAnsi="Calibri" w:cs="Calibri"/>
                <w:sz w:val="20"/>
                <w:szCs w:val="20"/>
              </w:rPr>
            </w:pPr>
          </w:p>
        </w:tc>
        <w:tc>
          <w:tcPr>
            <w:tcW w:w="1678" w:type="dxa"/>
          </w:tcPr>
          <w:p w14:paraId="7712BB2B"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Avelumab (Bavencio)</w:t>
            </w:r>
          </w:p>
        </w:tc>
        <w:tc>
          <w:tcPr>
            <w:tcW w:w="1103" w:type="dxa"/>
          </w:tcPr>
          <w:p w14:paraId="24A346A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26DB1D9C"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F0BBD71" w14:textId="77777777" w:rsidR="00FD1C2C" w:rsidRPr="00226703" w:rsidRDefault="00FD1C2C" w:rsidP="007F1EE5">
            <w:pPr>
              <w:rPr>
                <w:rFonts w:ascii="Calibri" w:hAnsi="Calibri" w:cs="Calibri"/>
                <w:sz w:val="20"/>
                <w:szCs w:val="20"/>
              </w:rPr>
            </w:pPr>
          </w:p>
        </w:tc>
      </w:tr>
      <w:tr w:rsidR="00FD1C2C" w:rsidRPr="00226703" w14:paraId="0053C12B" w14:textId="77777777" w:rsidTr="00FF5DC0">
        <w:tc>
          <w:tcPr>
            <w:tcW w:w="1497" w:type="dxa"/>
            <w:vMerge/>
          </w:tcPr>
          <w:p w14:paraId="0EDE4497" w14:textId="77777777" w:rsidR="00FD1C2C" w:rsidRPr="00226703" w:rsidRDefault="00FD1C2C" w:rsidP="007F1EE5">
            <w:pPr>
              <w:rPr>
                <w:rFonts w:ascii="Calibri" w:hAnsi="Calibri" w:cs="Calibri"/>
                <w:sz w:val="20"/>
                <w:szCs w:val="20"/>
              </w:rPr>
            </w:pPr>
          </w:p>
        </w:tc>
        <w:tc>
          <w:tcPr>
            <w:tcW w:w="1678" w:type="dxa"/>
          </w:tcPr>
          <w:p w14:paraId="7FFA04BB" w14:textId="77777777" w:rsidR="00FD1C2C" w:rsidRPr="00226703" w:rsidRDefault="00FD1C2C" w:rsidP="007F1EE5">
            <w:pPr>
              <w:rPr>
                <w:rFonts w:ascii="Calibri" w:hAnsi="Calibri" w:cs="Calibri"/>
                <w:sz w:val="20"/>
                <w:szCs w:val="20"/>
              </w:rPr>
            </w:pPr>
            <w:proofErr w:type="spellStart"/>
            <w:r w:rsidRPr="00226703">
              <w:rPr>
                <w:rFonts w:ascii="Calibri" w:hAnsi="Calibri" w:cs="Calibri"/>
                <w:sz w:val="20"/>
                <w:szCs w:val="20"/>
              </w:rPr>
              <w:t>Cemiplimab</w:t>
            </w:r>
            <w:proofErr w:type="spellEnd"/>
            <w:r w:rsidRPr="00226703">
              <w:rPr>
                <w:rFonts w:ascii="Calibri" w:hAnsi="Calibri" w:cs="Calibri"/>
                <w:sz w:val="20"/>
                <w:szCs w:val="20"/>
              </w:rPr>
              <w:t xml:space="preserve"> (</w:t>
            </w:r>
            <w:proofErr w:type="spellStart"/>
            <w:r w:rsidRPr="00226703">
              <w:rPr>
                <w:rFonts w:ascii="Calibri" w:hAnsi="Calibri" w:cs="Calibri"/>
                <w:sz w:val="20"/>
                <w:szCs w:val="20"/>
              </w:rPr>
              <w:t>Libtayo</w:t>
            </w:r>
            <w:proofErr w:type="spellEnd"/>
            <w:r w:rsidRPr="00226703">
              <w:rPr>
                <w:rFonts w:ascii="Calibri" w:hAnsi="Calibri" w:cs="Calibri"/>
                <w:sz w:val="20"/>
                <w:szCs w:val="20"/>
              </w:rPr>
              <w:t>)</w:t>
            </w:r>
          </w:p>
        </w:tc>
        <w:tc>
          <w:tcPr>
            <w:tcW w:w="1103" w:type="dxa"/>
          </w:tcPr>
          <w:p w14:paraId="35947CC2"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1C82FE03"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68578344" w14:textId="77777777" w:rsidR="00FD1C2C" w:rsidRPr="00226703" w:rsidRDefault="00FD1C2C" w:rsidP="007F1EE5">
            <w:pPr>
              <w:rPr>
                <w:rFonts w:ascii="Calibri" w:hAnsi="Calibri" w:cs="Calibri"/>
                <w:sz w:val="20"/>
                <w:szCs w:val="20"/>
              </w:rPr>
            </w:pPr>
          </w:p>
        </w:tc>
      </w:tr>
      <w:tr w:rsidR="00FD1C2C" w:rsidRPr="00226703" w14:paraId="35E6A6EF" w14:textId="77777777" w:rsidTr="00FF5DC0">
        <w:tc>
          <w:tcPr>
            <w:tcW w:w="1497" w:type="dxa"/>
            <w:vMerge/>
          </w:tcPr>
          <w:p w14:paraId="28262C98" w14:textId="77777777" w:rsidR="00FD1C2C" w:rsidRPr="00226703" w:rsidRDefault="00FD1C2C" w:rsidP="007F1EE5">
            <w:pPr>
              <w:rPr>
                <w:rFonts w:ascii="Calibri" w:hAnsi="Calibri" w:cs="Calibri"/>
                <w:sz w:val="20"/>
                <w:szCs w:val="20"/>
              </w:rPr>
            </w:pPr>
          </w:p>
        </w:tc>
        <w:tc>
          <w:tcPr>
            <w:tcW w:w="1678" w:type="dxa"/>
          </w:tcPr>
          <w:p w14:paraId="5B898FD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Durvalumab (Imfinzi)</w:t>
            </w:r>
          </w:p>
        </w:tc>
        <w:tc>
          <w:tcPr>
            <w:tcW w:w="1103" w:type="dxa"/>
          </w:tcPr>
          <w:p w14:paraId="47613F45"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78C50B10"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A464C37" w14:textId="77777777" w:rsidR="00FD1C2C" w:rsidRPr="00226703" w:rsidRDefault="00FD1C2C" w:rsidP="007F1EE5">
            <w:pPr>
              <w:rPr>
                <w:rFonts w:ascii="Calibri" w:hAnsi="Calibri" w:cs="Calibri"/>
                <w:sz w:val="20"/>
                <w:szCs w:val="20"/>
              </w:rPr>
            </w:pPr>
          </w:p>
        </w:tc>
      </w:tr>
      <w:tr w:rsidR="00FD1C2C" w:rsidRPr="00226703" w14:paraId="76EA6D63" w14:textId="77777777" w:rsidTr="00FF5DC0">
        <w:tc>
          <w:tcPr>
            <w:tcW w:w="1497" w:type="dxa"/>
            <w:vMerge/>
          </w:tcPr>
          <w:p w14:paraId="6C9EE734" w14:textId="77777777" w:rsidR="00FD1C2C" w:rsidRPr="00226703" w:rsidRDefault="00FD1C2C" w:rsidP="007F1EE5">
            <w:pPr>
              <w:rPr>
                <w:rFonts w:ascii="Calibri" w:hAnsi="Calibri" w:cs="Calibri"/>
                <w:sz w:val="20"/>
                <w:szCs w:val="20"/>
              </w:rPr>
            </w:pPr>
          </w:p>
        </w:tc>
        <w:tc>
          <w:tcPr>
            <w:tcW w:w="1678" w:type="dxa"/>
          </w:tcPr>
          <w:p w14:paraId="2718A19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Nivolumab (Opdivo)</w:t>
            </w:r>
          </w:p>
        </w:tc>
        <w:tc>
          <w:tcPr>
            <w:tcW w:w="1103" w:type="dxa"/>
          </w:tcPr>
          <w:p w14:paraId="76FAEBE6"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1338C78D"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044C1C68" w14:textId="77777777" w:rsidR="00FD1C2C" w:rsidRPr="00226703" w:rsidRDefault="00FD1C2C" w:rsidP="007F1EE5">
            <w:pPr>
              <w:rPr>
                <w:rFonts w:ascii="Calibri" w:hAnsi="Calibri" w:cs="Calibri"/>
                <w:sz w:val="20"/>
                <w:szCs w:val="20"/>
              </w:rPr>
            </w:pPr>
          </w:p>
        </w:tc>
      </w:tr>
      <w:tr w:rsidR="00FD1C2C" w:rsidRPr="00226703" w14:paraId="566622D7" w14:textId="77777777" w:rsidTr="00FF5DC0">
        <w:tc>
          <w:tcPr>
            <w:tcW w:w="1497" w:type="dxa"/>
            <w:vMerge/>
          </w:tcPr>
          <w:p w14:paraId="1A73643B" w14:textId="77777777" w:rsidR="00FD1C2C" w:rsidRPr="00226703" w:rsidRDefault="00FD1C2C" w:rsidP="007F1EE5">
            <w:pPr>
              <w:rPr>
                <w:rFonts w:ascii="Calibri" w:hAnsi="Calibri" w:cs="Calibri"/>
                <w:sz w:val="20"/>
                <w:szCs w:val="20"/>
              </w:rPr>
            </w:pPr>
          </w:p>
        </w:tc>
        <w:tc>
          <w:tcPr>
            <w:tcW w:w="1678" w:type="dxa"/>
          </w:tcPr>
          <w:p w14:paraId="57D8E940" w14:textId="77777777" w:rsidR="00FD1C2C" w:rsidRPr="00226703" w:rsidRDefault="00FD1C2C" w:rsidP="007F1EE5">
            <w:pPr>
              <w:rPr>
                <w:rFonts w:ascii="Calibri" w:hAnsi="Calibri" w:cs="Calibri"/>
                <w:sz w:val="20"/>
                <w:szCs w:val="20"/>
              </w:rPr>
            </w:pPr>
            <w:proofErr w:type="spellStart"/>
            <w:r w:rsidRPr="00226703">
              <w:rPr>
                <w:rFonts w:ascii="Calibri" w:hAnsi="Calibri" w:cs="Calibri"/>
                <w:sz w:val="20"/>
                <w:szCs w:val="20"/>
              </w:rPr>
              <w:t>Dostarlimab</w:t>
            </w:r>
            <w:proofErr w:type="spellEnd"/>
            <w:r w:rsidRPr="00226703">
              <w:rPr>
                <w:rFonts w:ascii="Calibri" w:hAnsi="Calibri" w:cs="Calibri"/>
                <w:sz w:val="20"/>
                <w:szCs w:val="20"/>
              </w:rPr>
              <w:t xml:space="preserve"> (</w:t>
            </w:r>
            <w:proofErr w:type="spellStart"/>
            <w:r w:rsidRPr="00226703">
              <w:rPr>
                <w:rFonts w:ascii="Calibri" w:hAnsi="Calibri" w:cs="Calibri"/>
                <w:sz w:val="20"/>
                <w:szCs w:val="20"/>
              </w:rPr>
              <w:t>Jemperli</w:t>
            </w:r>
            <w:proofErr w:type="spellEnd"/>
            <w:r w:rsidRPr="00226703">
              <w:rPr>
                <w:rFonts w:ascii="Calibri" w:hAnsi="Calibri" w:cs="Calibri"/>
                <w:sz w:val="20"/>
                <w:szCs w:val="20"/>
              </w:rPr>
              <w:t>)</w:t>
            </w:r>
          </w:p>
        </w:tc>
        <w:tc>
          <w:tcPr>
            <w:tcW w:w="1103" w:type="dxa"/>
          </w:tcPr>
          <w:p w14:paraId="37791078"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I/E</w:t>
            </w:r>
          </w:p>
        </w:tc>
        <w:tc>
          <w:tcPr>
            <w:tcW w:w="3186" w:type="dxa"/>
            <w:vMerge/>
          </w:tcPr>
          <w:p w14:paraId="3A79ABBA"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68BDDA21" w14:textId="77777777" w:rsidR="00FD1C2C" w:rsidRPr="00226703" w:rsidRDefault="00FD1C2C" w:rsidP="007F1EE5">
            <w:pPr>
              <w:rPr>
                <w:rFonts w:ascii="Calibri" w:hAnsi="Calibri" w:cs="Calibri"/>
                <w:sz w:val="20"/>
                <w:szCs w:val="20"/>
              </w:rPr>
            </w:pPr>
          </w:p>
        </w:tc>
      </w:tr>
      <w:tr w:rsidR="00FD1C2C" w:rsidRPr="00226703" w14:paraId="4B33DE40" w14:textId="77777777" w:rsidTr="00FF5DC0">
        <w:tc>
          <w:tcPr>
            <w:tcW w:w="1497" w:type="dxa"/>
          </w:tcPr>
          <w:p w14:paraId="27537FCD"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Pembrolizumab initiation dose</w:t>
            </w:r>
          </w:p>
        </w:tc>
        <w:tc>
          <w:tcPr>
            <w:tcW w:w="1678" w:type="dxa"/>
          </w:tcPr>
          <w:p w14:paraId="495AB250"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Pembrolizumab (Pembrolizumab)</w:t>
            </w:r>
          </w:p>
        </w:tc>
        <w:tc>
          <w:tcPr>
            <w:tcW w:w="1103" w:type="dxa"/>
          </w:tcPr>
          <w:p w14:paraId="377794E9"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Cohort generation (CG)</w:t>
            </w:r>
          </w:p>
        </w:tc>
        <w:tc>
          <w:tcPr>
            <w:tcW w:w="3186" w:type="dxa"/>
          </w:tcPr>
          <w:p w14:paraId="01986D10"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The dose (in mg) that was administered to the patient at the start date of Pembrolizumab treatment</w:t>
            </w:r>
          </w:p>
        </w:tc>
        <w:tc>
          <w:tcPr>
            <w:tcW w:w="1104" w:type="dxa"/>
          </w:tcPr>
          <w:p w14:paraId="4F9CBE0D"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098AC418" w14:textId="77777777" w:rsidTr="00FF5DC0">
        <w:tc>
          <w:tcPr>
            <w:tcW w:w="1497" w:type="dxa"/>
          </w:tcPr>
          <w:p w14:paraId="1FE22747"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 xml:space="preserve">Level 1 cohort split </w:t>
            </w:r>
          </w:p>
        </w:tc>
        <w:tc>
          <w:tcPr>
            <w:tcW w:w="1678" w:type="dxa"/>
          </w:tcPr>
          <w:p w14:paraId="42098318" w14:textId="77777777" w:rsidR="00FD1C2C" w:rsidRPr="00226703" w:rsidRDefault="00FD1C2C" w:rsidP="007F1EE5">
            <w:pPr>
              <w:rPr>
                <w:rFonts w:ascii="Calibri" w:hAnsi="Calibri" w:cs="Calibri"/>
                <w:sz w:val="20"/>
                <w:szCs w:val="20"/>
              </w:rPr>
            </w:pPr>
            <w:r w:rsidRPr="00226703">
              <w:rPr>
                <w:rFonts w:ascii="Calibri" w:hAnsi="Calibri" w:cs="Calibri"/>
                <w:i/>
                <w:iCs/>
                <w:sz w:val="20"/>
                <w:szCs w:val="20"/>
                <w:u w:val="single"/>
              </w:rPr>
              <w:t>Pembrolizumab initiation dose</w:t>
            </w:r>
          </w:p>
        </w:tc>
        <w:tc>
          <w:tcPr>
            <w:tcW w:w="1103" w:type="dxa"/>
          </w:tcPr>
          <w:p w14:paraId="01F7015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CG</w:t>
            </w:r>
          </w:p>
        </w:tc>
        <w:tc>
          <w:tcPr>
            <w:tcW w:w="3186" w:type="dxa"/>
          </w:tcPr>
          <w:p w14:paraId="7BFA52D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 xml:space="preserve">A patient was considered a SD initiator when the </w:t>
            </w:r>
            <w:r w:rsidRPr="00226703">
              <w:rPr>
                <w:rFonts w:ascii="Calibri" w:hAnsi="Calibri" w:cs="Calibri"/>
                <w:i/>
                <w:iCs/>
                <w:sz w:val="20"/>
                <w:szCs w:val="20"/>
                <w:u w:val="single"/>
              </w:rPr>
              <w:t>Pembrolizumab initiation dose</w:t>
            </w:r>
            <w:r w:rsidRPr="00226703">
              <w:rPr>
                <w:rFonts w:ascii="Calibri" w:hAnsi="Calibri" w:cs="Calibri"/>
                <w:sz w:val="20"/>
                <w:szCs w:val="20"/>
              </w:rPr>
              <w:t xml:space="preserve"> was 200 mg or lower.</w:t>
            </w:r>
            <w:r w:rsidRPr="00226703">
              <w:rPr>
                <w:rFonts w:ascii="Calibri" w:hAnsi="Calibri" w:cs="Calibri"/>
                <w:sz w:val="20"/>
                <w:szCs w:val="20"/>
              </w:rPr>
              <w:br/>
              <w:t xml:space="preserve">A patient was considered an ED initiator when the </w:t>
            </w:r>
            <w:r w:rsidRPr="00226703">
              <w:rPr>
                <w:rFonts w:ascii="Calibri" w:hAnsi="Calibri" w:cs="Calibri"/>
                <w:i/>
                <w:iCs/>
                <w:sz w:val="20"/>
                <w:szCs w:val="20"/>
                <w:u w:val="single"/>
              </w:rPr>
              <w:t>Pembrolizumab initiation dose</w:t>
            </w:r>
            <w:r w:rsidRPr="00226703">
              <w:rPr>
                <w:rFonts w:ascii="Calibri" w:hAnsi="Calibri" w:cs="Calibri"/>
                <w:sz w:val="20"/>
                <w:szCs w:val="20"/>
              </w:rPr>
              <w:t xml:space="preserve"> was higher than 200 mg </w:t>
            </w:r>
          </w:p>
        </w:tc>
        <w:tc>
          <w:tcPr>
            <w:tcW w:w="1104" w:type="dxa"/>
          </w:tcPr>
          <w:p w14:paraId="4D49212E"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r w:rsidRPr="00226703" w:rsidDel="004421EC">
              <w:rPr>
                <w:rFonts w:ascii="Calibri" w:hAnsi="Calibri" w:cs="Calibri"/>
                <w:sz w:val="20"/>
                <w:szCs w:val="20"/>
              </w:rPr>
              <w:t xml:space="preserve"> </w:t>
            </w:r>
          </w:p>
        </w:tc>
      </w:tr>
      <w:tr w:rsidR="00FD1C2C" w:rsidRPr="00226703" w14:paraId="6E407A9F" w14:textId="77777777" w:rsidTr="00FF5DC0">
        <w:tc>
          <w:tcPr>
            <w:tcW w:w="1497" w:type="dxa"/>
          </w:tcPr>
          <w:p w14:paraId="2B919327"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Difference lag quantity</w:t>
            </w:r>
          </w:p>
        </w:tc>
        <w:tc>
          <w:tcPr>
            <w:tcW w:w="1678" w:type="dxa"/>
          </w:tcPr>
          <w:p w14:paraId="0AC70F1F" w14:textId="77777777" w:rsidR="00FD1C2C" w:rsidRPr="00226703" w:rsidRDefault="00FD1C2C" w:rsidP="007F1EE5">
            <w:pPr>
              <w:rPr>
                <w:rFonts w:ascii="Calibri" w:hAnsi="Calibri" w:cs="Calibri"/>
                <w:i/>
                <w:iCs/>
                <w:sz w:val="20"/>
                <w:szCs w:val="20"/>
                <w:u w:val="single"/>
              </w:rPr>
            </w:pPr>
            <w:r w:rsidRPr="00226703">
              <w:rPr>
                <w:rFonts w:ascii="Calibri" w:hAnsi="Calibri" w:cs="Calibri"/>
                <w:sz w:val="20"/>
                <w:szCs w:val="20"/>
              </w:rPr>
              <w:t>Pembrolizumab (Pembrolizumab)</w:t>
            </w:r>
          </w:p>
        </w:tc>
        <w:tc>
          <w:tcPr>
            <w:tcW w:w="1103" w:type="dxa"/>
          </w:tcPr>
          <w:p w14:paraId="119BC479"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CG</w:t>
            </w:r>
          </w:p>
        </w:tc>
        <w:tc>
          <w:tcPr>
            <w:tcW w:w="3186" w:type="dxa"/>
          </w:tcPr>
          <w:p w14:paraId="1FCD0FE1"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 xml:space="preserve">The difference in mg between consecutive Pembrolizumab administrations of a patient. </w:t>
            </w:r>
          </w:p>
        </w:tc>
        <w:tc>
          <w:tcPr>
            <w:tcW w:w="1104" w:type="dxa"/>
          </w:tcPr>
          <w:p w14:paraId="18E6EDE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1C04CD13" w14:textId="77777777" w:rsidTr="00FF5DC0">
        <w:tc>
          <w:tcPr>
            <w:tcW w:w="1497" w:type="dxa"/>
          </w:tcPr>
          <w:p w14:paraId="3AAD1435"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 xml:space="preserve">Type switch </w:t>
            </w:r>
          </w:p>
        </w:tc>
        <w:tc>
          <w:tcPr>
            <w:tcW w:w="1678" w:type="dxa"/>
          </w:tcPr>
          <w:p w14:paraId="1CED0534"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Difference lag quantity</w:t>
            </w:r>
          </w:p>
        </w:tc>
        <w:tc>
          <w:tcPr>
            <w:tcW w:w="1103" w:type="dxa"/>
          </w:tcPr>
          <w:p w14:paraId="4BED6E76"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CG</w:t>
            </w:r>
          </w:p>
        </w:tc>
        <w:tc>
          <w:tcPr>
            <w:tcW w:w="3186" w:type="dxa"/>
          </w:tcPr>
          <w:p w14:paraId="6EB38526"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 xml:space="preserve">SD-to-ED dosing scheme when the difference lag quantity was 200 mg </w:t>
            </w:r>
          </w:p>
          <w:p w14:paraId="7807EC4D"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ED-to-SD dosing scheme when the difference lag quantity was -200 mg</w:t>
            </w:r>
          </w:p>
          <w:p w14:paraId="63013C95"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lastRenderedPageBreak/>
              <w:t xml:space="preserve">If none of the above were detected, the patient was considered not to have switched their medication dosing scheme. </w:t>
            </w:r>
          </w:p>
        </w:tc>
        <w:tc>
          <w:tcPr>
            <w:tcW w:w="1104" w:type="dxa"/>
          </w:tcPr>
          <w:p w14:paraId="417E0EA6"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lastRenderedPageBreak/>
              <w:t>Structured data source</w:t>
            </w:r>
          </w:p>
        </w:tc>
      </w:tr>
      <w:tr w:rsidR="00FD1C2C" w:rsidRPr="00226703" w14:paraId="7B471456" w14:textId="77777777" w:rsidTr="00FF5DC0">
        <w:tc>
          <w:tcPr>
            <w:tcW w:w="1497" w:type="dxa"/>
            <w:vMerge w:val="restart"/>
          </w:tcPr>
          <w:p w14:paraId="7F3C1269"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Level 2 cohort split</w:t>
            </w:r>
          </w:p>
        </w:tc>
        <w:tc>
          <w:tcPr>
            <w:tcW w:w="1678" w:type="dxa"/>
          </w:tcPr>
          <w:p w14:paraId="3E9B5568"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Level 1 cohort split</w:t>
            </w:r>
          </w:p>
          <w:p w14:paraId="68285C02" w14:textId="77777777" w:rsidR="00FD1C2C" w:rsidRPr="00226703" w:rsidRDefault="00FD1C2C" w:rsidP="007F1EE5">
            <w:pPr>
              <w:rPr>
                <w:rFonts w:ascii="Calibri" w:hAnsi="Calibri" w:cs="Calibri"/>
                <w:i/>
                <w:iCs/>
                <w:sz w:val="20"/>
                <w:szCs w:val="20"/>
                <w:u w:val="single"/>
              </w:rPr>
            </w:pPr>
          </w:p>
          <w:p w14:paraId="6F5EA1C6" w14:textId="77777777" w:rsidR="00FD1C2C" w:rsidRPr="00226703" w:rsidRDefault="00FD1C2C" w:rsidP="007F1EE5">
            <w:pPr>
              <w:rPr>
                <w:rFonts w:ascii="Calibri" w:hAnsi="Calibri" w:cs="Calibri"/>
                <w:i/>
                <w:iCs/>
                <w:sz w:val="20"/>
                <w:szCs w:val="20"/>
                <w:u w:val="single"/>
              </w:rPr>
            </w:pPr>
          </w:p>
        </w:tc>
        <w:tc>
          <w:tcPr>
            <w:tcW w:w="1103" w:type="dxa"/>
          </w:tcPr>
          <w:p w14:paraId="1C711C19"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CG</w:t>
            </w:r>
          </w:p>
        </w:tc>
        <w:tc>
          <w:tcPr>
            <w:tcW w:w="3186" w:type="dxa"/>
            <w:vMerge w:val="restart"/>
          </w:tcPr>
          <w:p w14:paraId="3A4FA59A" w14:textId="77777777" w:rsidR="00FD1C2C" w:rsidRPr="00226703" w:rsidRDefault="00FD1C2C" w:rsidP="007F1EE5">
            <w:pPr>
              <w:rPr>
                <w:rFonts w:ascii="Calibri" w:hAnsi="Calibri" w:cs="Calibri"/>
                <w:sz w:val="20"/>
                <w:szCs w:val="20"/>
              </w:rPr>
            </w:pPr>
            <w:r w:rsidRPr="00226703">
              <w:rPr>
                <w:rFonts w:ascii="Calibri" w:hAnsi="Calibri" w:cs="Calibri"/>
                <w:b/>
                <w:bCs/>
                <w:sz w:val="20"/>
                <w:szCs w:val="20"/>
              </w:rPr>
              <w:t xml:space="preserve">SD only cohort: </w:t>
            </w:r>
            <w:r w:rsidRPr="00226703">
              <w:rPr>
                <w:rFonts w:ascii="Calibri" w:hAnsi="Calibri" w:cs="Calibri"/>
                <w:sz w:val="20"/>
                <w:szCs w:val="20"/>
              </w:rPr>
              <w:t>when the patient was a SD initiator and had no switches</w:t>
            </w:r>
          </w:p>
          <w:p w14:paraId="1C90D978" w14:textId="77777777" w:rsidR="00FD1C2C" w:rsidRPr="00226703" w:rsidRDefault="00FD1C2C" w:rsidP="007F1EE5">
            <w:pPr>
              <w:rPr>
                <w:rFonts w:ascii="Calibri" w:hAnsi="Calibri" w:cs="Calibri"/>
                <w:sz w:val="20"/>
                <w:szCs w:val="20"/>
              </w:rPr>
            </w:pPr>
            <w:r w:rsidRPr="00226703">
              <w:rPr>
                <w:rFonts w:ascii="Calibri" w:hAnsi="Calibri" w:cs="Calibri"/>
                <w:b/>
                <w:bCs/>
                <w:sz w:val="20"/>
                <w:szCs w:val="20"/>
              </w:rPr>
              <w:t>ED only cohort:</w:t>
            </w:r>
            <w:r w:rsidRPr="00226703">
              <w:rPr>
                <w:rFonts w:ascii="Calibri" w:hAnsi="Calibri" w:cs="Calibri"/>
                <w:sz w:val="20"/>
                <w:szCs w:val="20"/>
              </w:rPr>
              <w:t xml:space="preserve"> when the patient was an ED initiator and had no switches </w:t>
            </w:r>
          </w:p>
          <w:p w14:paraId="7BF37FDF" w14:textId="77777777" w:rsidR="00FD1C2C" w:rsidRPr="00226703" w:rsidRDefault="00FD1C2C" w:rsidP="007F1EE5">
            <w:pPr>
              <w:rPr>
                <w:rFonts w:ascii="Calibri" w:hAnsi="Calibri" w:cs="Calibri"/>
                <w:sz w:val="20"/>
                <w:szCs w:val="20"/>
              </w:rPr>
            </w:pPr>
            <w:r w:rsidRPr="00226703">
              <w:rPr>
                <w:rFonts w:ascii="Calibri" w:hAnsi="Calibri" w:cs="Calibri"/>
                <w:b/>
                <w:bCs/>
                <w:sz w:val="20"/>
                <w:szCs w:val="20"/>
              </w:rPr>
              <w:t>SD-to-ED and stay cohort:</w:t>
            </w:r>
            <w:r w:rsidRPr="00226703">
              <w:rPr>
                <w:rFonts w:ascii="Calibri" w:hAnsi="Calibri" w:cs="Calibri"/>
                <w:sz w:val="20"/>
                <w:szCs w:val="20"/>
              </w:rPr>
              <w:t xml:space="preserve"> when the patient was a SD initiator and had only one type of switch (SD-to-ED)</w:t>
            </w:r>
          </w:p>
          <w:p w14:paraId="477D7F74" w14:textId="77777777" w:rsidR="00FD1C2C" w:rsidRPr="00226703" w:rsidRDefault="00FD1C2C" w:rsidP="007F1EE5">
            <w:pPr>
              <w:rPr>
                <w:rFonts w:ascii="Calibri" w:hAnsi="Calibri" w:cs="Calibri"/>
                <w:sz w:val="20"/>
                <w:szCs w:val="20"/>
              </w:rPr>
            </w:pPr>
            <w:r w:rsidRPr="00226703">
              <w:rPr>
                <w:rFonts w:ascii="Calibri" w:hAnsi="Calibri" w:cs="Calibri"/>
                <w:b/>
                <w:bCs/>
                <w:sz w:val="20"/>
                <w:szCs w:val="20"/>
              </w:rPr>
              <w:t>SD initiator with more than 1 switch:</w:t>
            </w:r>
            <w:r w:rsidRPr="00226703">
              <w:rPr>
                <w:rFonts w:ascii="Calibri" w:hAnsi="Calibri" w:cs="Calibri"/>
                <w:sz w:val="20"/>
                <w:szCs w:val="20"/>
              </w:rPr>
              <w:t xml:space="preserve"> when the patient was a SD initiator and had a SD-to-ES switch and then an ED-to-SD switch </w:t>
            </w:r>
          </w:p>
        </w:tc>
        <w:tc>
          <w:tcPr>
            <w:tcW w:w="1104" w:type="dxa"/>
            <w:vMerge w:val="restart"/>
          </w:tcPr>
          <w:p w14:paraId="348F5F4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3CF4B227" w14:textId="77777777" w:rsidTr="00FF5DC0">
        <w:tc>
          <w:tcPr>
            <w:tcW w:w="1497" w:type="dxa"/>
            <w:vMerge/>
          </w:tcPr>
          <w:p w14:paraId="70E41682" w14:textId="77777777" w:rsidR="00FD1C2C" w:rsidRPr="00226703" w:rsidRDefault="00FD1C2C" w:rsidP="007F1EE5">
            <w:pPr>
              <w:rPr>
                <w:rFonts w:ascii="Calibri" w:hAnsi="Calibri" w:cs="Calibri"/>
                <w:b/>
                <w:bCs/>
                <w:sz w:val="20"/>
                <w:szCs w:val="20"/>
              </w:rPr>
            </w:pPr>
          </w:p>
        </w:tc>
        <w:tc>
          <w:tcPr>
            <w:tcW w:w="1678" w:type="dxa"/>
          </w:tcPr>
          <w:p w14:paraId="79406F63"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Type switch</w:t>
            </w:r>
          </w:p>
        </w:tc>
        <w:tc>
          <w:tcPr>
            <w:tcW w:w="1103" w:type="dxa"/>
          </w:tcPr>
          <w:p w14:paraId="37FE140A"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CG</w:t>
            </w:r>
          </w:p>
        </w:tc>
        <w:tc>
          <w:tcPr>
            <w:tcW w:w="3186" w:type="dxa"/>
            <w:vMerge/>
          </w:tcPr>
          <w:p w14:paraId="29538CD7" w14:textId="77777777" w:rsidR="00FD1C2C" w:rsidRPr="00226703" w:rsidRDefault="00FD1C2C" w:rsidP="007F1EE5">
            <w:pPr>
              <w:rPr>
                <w:rFonts w:ascii="Calibri" w:hAnsi="Calibri" w:cs="Calibri"/>
                <w:sz w:val="20"/>
                <w:szCs w:val="20"/>
              </w:rPr>
            </w:pPr>
          </w:p>
        </w:tc>
        <w:tc>
          <w:tcPr>
            <w:tcW w:w="1104" w:type="dxa"/>
            <w:vMerge/>
          </w:tcPr>
          <w:p w14:paraId="054ED958" w14:textId="77777777" w:rsidR="00FD1C2C" w:rsidRPr="00226703" w:rsidRDefault="00FD1C2C" w:rsidP="007F1EE5">
            <w:pPr>
              <w:rPr>
                <w:rFonts w:ascii="Calibri" w:hAnsi="Calibri" w:cs="Calibri"/>
                <w:sz w:val="20"/>
                <w:szCs w:val="20"/>
              </w:rPr>
            </w:pPr>
          </w:p>
        </w:tc>
      </w:tr>
      <w:tr w:rsidR="00FD1C2C" w:rsidRPr="00226703" w14:paraId="3E037E46" w14:textId="77777777" w:rsidTr="00FF5DC0">
        <w:tc>
          <w:tcPr>
            <w:tcW w:w="1497" w:type="dxa"/>
          </w:tcPr>
          <w:p w14:paraId="126349F4"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Age at index</w:t>
            </w:r>
          </w:p>
        </w:tc>
        <w:tc>
          <w:tcPr>
            <w:tcW w:w="1678" w:type="dxa"/>
          </w:tcPr>
          <w:p w14:paraId="0618C99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w:t>
            </w:r>
          </w:p>
        </w:tc>
        <w:tc>
          <w:tcPr>
            <w:tcW w:w="1103" w:type="dxa"/>
          </w:tcPr>
          <w:p w14:paraId="7FF994CA"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Primary objective (PO)</w:t>
            </w:r>
          </w:p>
        </w:tc>
        <w:tc>
          <w:tcPr>
            <w:tcW w:w="3186" w:type="dxa"/>
          </w:tcPr>
          <w:p w14:paraId="24CE16C6"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Calculated as the difference in years between index event date (Pembrolizumab start date) and patient’s date of birth (OMOP person table)</w:t>
            </w:r>
          </w:p>
        </w:tc>
        <w:tc>
          <w:tcPr>
            <w:tcW w:w="1104" w:type="dxa"/>
          </w:tcPr>
          <w:p w14:paraId="114C7A7B"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75C90519" w14:textId="77777777" w:rsidTr="00FF5DC0">
        <w:tc>
          <w:tcPr>
            <w:tcW w:w="1497" w:type="dxa"/>
          </w:tcPr>
          <w:p w14:paraId="2710291C"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Gender</w:t>
            </w:r>
          </w:p>
        </w:tc>
        <w:tc>
          <w:tcPr>
            <w:tcW w:w="1678" w:type="dxa"/>
          </w:tcPr>
          <w:p w14:paraId="3205DD4E"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w:t>
            </w:r>
          </w:p>
        </w:tc>
        <w:tc>
          <w:tcPr>
            <w:tcW w:w="1103" w:type="dxa"/>
          </w:tcPr>
          <w:p w14:paraId="2607D3C7"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155435F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Obtained from the gender concept ID in the OMOP person table</w:t>
            </w:r>
          </w:p>
        </w:tc>
        <w:tc>
          <w:tcPr>
            <w:tcW w:w="1104" w:type="dxa"/>
          </w:tcPr>
          <w:p w14:paraId="5AA7E354"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048164D3" w14:textId="77777777" w:rsidTr="00FF5DC0">
        <w:tc>
          <w:tcPr>
            <w:tcW w:w="1497" w:type="dxa"/>
          </w:tcPr>
          <w:p w14:paraId="3BD58C63"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Smoking status closest before Pembrolizumab start</w:t>
            </w:r>
          </w:p>
        </w:tc>
        <w:tc>
          <w:tcPr>
            <w:tcW w:w="1678" w:type="dxa"/>
          </w:tcPr>
          <w:p w14:paraId="0A7798F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Tobacco smoking status</w:t>
            </w:r>
          </w:p>
        </w:tc>
        <w:tc>
          <w:tcPr>
            <w:tcW w:w="1103" w:type="dxa"/>
          </w:tcPr>
          <w:p w14:paraId="293518C0"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tcPr>
          <w:p w14:paraId="7503345F"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Closest value prior to index event was split in ‘Non-smoker’, ‘Smoker’, ‘Ex-smoker’, ‘Smoking status unknown’ depending on source value.</w:t>
            </w:r>
          </w:p>
        </w:tc>
        <w:tc>
          <w:tcPr>
            <w:tcW w:w="1104" w:type="dxa"/>
          </w:tcPr>
          <w:p w14:paraId="16FD0A5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 and NLP</w:t>
            </w:r>
          </w:p>
        </w:tc>
      </w:tr>
      <w:tr w:rsidR="00FD1C2C" w:rsidRPr="00226703" w14:paraId="5C49AD9C" w14:textId="77777777" w:rsidTr="00FF5DC0">
        <w:tc>
          <w:tcPr>
            <w:tcW w:w="1497" w:type="dxa"/>
            <w:vMerge w:val="restart"/>
          </w:tcPr>
          <w:p w14:paraId="7305AA3F" w14:textId="77777777" w:rsidR="00FD1C2C" w:rsidRPr="00226703" w:rsidRDefault="00FD1C2C" w:rsidP="007F1EE5">
            <w:pPr>
              <w:rPr>
                <w:rFonts w:ascii="Calibri" w:hAnsi="Calibri" w:cs="Calibri"/>
                <w:b/>
                <w:bCs/>
                <w:sz w:val="20"/>
                <w:szCs w:val="20"/>
              </w:rPr>
            </w:pPr>
            <w:r w:rsidRPr="00226703">
              <w:rPr>
                <w:rStyle w:val="ui-provider"/>
                <w:rFonts w:ascii="Calibri" w:hAnsi="Calibri" w:cs="Calibri"/>
                <w:sz w:val="20"/>
                <w:szCs w:val="20"/>
              </w:rPr>
              <w:t>Stage closest before Pembrolizumab start (IV/ non-IV)</w:t>
            </w:r>
          </w:p>
        </w:tc>
        <w:tc>
          <w:tcPr>
            <w:tcW w:w="1678" w:type="dxa"/>
          </w:tcPr>
          <w:p w14:paraId="3B612A8C"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Cancer stage</w:t>
            </w:r>
          </w:p>
        </w:tc>
        <w:tc>
          <w:tcPr>
            <w:tcW w:w="1103" w:type="dxa"/>
          </w:tcPr>
          <w:p w14:paraId="19AA19D9"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vMerge w:val="restart"/>
          </w:tcPr>
          <w:p w14:paraId="2DAE5D45"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 xml:space="preserve">The closest stage before index event and the first metastatic neoplasm (excluding lymph node metastases) and the first date that the metastatic stage was 1 were retrieved from structured and NLP sources. First, the structured sources were considered: If the patient had a stage IV (including substages) or the patient had a record of metastatic neoplasm or of metastatic stage that equaled 1 (before the index event), the patient was assigned to the “stage IV” group. If the stage was not stage IV and not blank (unknown), the patient got assigned to </w:t>
            </w:r>
            <w:proofErr w:type="gramStart"/>
            <w:r w:rsidRPr="00226703">
              <w:rPr>
                <w:rFonts w:ascii="Calibri" w:hAnsi="Calibri" w:cs="Calibri"/>
                <w:sz w:val="20"/>
                <w:szCs w:val="20"/>
              </w:rPr>
              <w:t>the ”stage</w:t>
            </w:r>
            <w:proofErr w:type="gramEnd"/>
            <w:r w:rsidRPr="00226703">
              <w:rPr>
                <w:rFonts w:ascii="Calibri" w:hAnsi="Calibri" w:cs="Calibri"/>
                <w:sz w:val="20"/>
                <w:szCs w:val="20"/>
              </w:rPr>
              <w:t xml:space="preserve"> non-IV” group. If no categorizing could be done based on structured data, the NLP data was considered </w:t>
            </w:r>
            <w:r w:rsidRPr="00226703">
              <w:rPr>
                <w:rFonts w:ascii="Calibri" w:hAnsi="Calibri" w:cs="Calibri"/>
                <w:sz w:val="20"/>
                <w:szCs w:val="20"/>
              </w:rPr>
              <w:lastRenderedPageBreak/>
              <w:t xml:space="preserve">and categorized in the same manner.  </w:t>
            </w:r>
          </w:p>
        </w:tc>
        <w:tc>
          <w:tcPr>
            <w:tcW w:w="1104" w:type="dxa"/>
            <w:vMerge w:val="restart"/>
          </w:tcPr>
          <w:p w14:paraId="153CE5D4"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lastRenderedPageBreak/>
              <w:t>Structured data source and NLP</w:t>
            </w:r>
          </w:p>
        </w:tc>
      </w:tr>
      <w:tr w:rsidR="00FD1C2C" w:rsidRPr="00226703" w14:paraId="70A64C6E" w14:textId="77777777" w:rsidTr="00FF5DC0">
        <w:tc>
          <w:tcPr>
            <w:tcW w:w="1497" w:type="dxa"/>
            <w:vMerge/>
          </w:tcPr>
          <w:p w14:paraId="11963156" w14:textId="77777777" w:rsidR="00FD1C2C" w:rsidRPr="00226703" w:rsidRDefault="00FD1C2C" w:rsidP="007F1EE5">
            <w:pPr>
              <w:rPr>
                <w:rStyle w:val="ui-provider"/>
                <w:rFonts w:ascii="Calibri" w:hAnsi="Calibri" w:cs="Calibri"/>
                <w:sz w:val="20"/>
                <w:szCs w:val="20"/>
              </w:rPr>
            </w:pPr>
          </w:p>
        </w:tc>
        <w:tc>
          <w:tcPr>
            <w:tcW w:w="1678" w:type="dxa"/>
          </w:tcPr>
          <w:p w14:paraId="49EF66CA"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Metastatic stage</w:t>
            </w:r>
          </w:p>
        </w:tc>
        <w:tc>
          <w:tcPr>
            <w:tcW w:w="1103" w:type="dxa"/>
          </w:tcPr>
          <w:p w14:paraId="00473638"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46F7A5DC"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25A2C683" w14:textId="77777777" w:rsidR="00FD1C2C" w:rsidRPr="00226703" w:rsidRDefault="00FD1C2C" w:rsidP="007F1EE5">
            <w:pPr>
              <w:rPr>
                <w:rFonts w:ascii="Calibri" w:hAnsi="Calibri" w:cs="Calibri"/>
                <w:sz w:val="20"/>
                <w:szCs w:val="20"/>
              </w:rPr>
            </w:pPr>
          </w:p>
        </w:tc>
      </w:tr>
      <w:tr w:rsidR="00FD1C2C" w:rsidRPr="00226703" w14:paraId="46250F95" w14:textId="77777777" w:rsidTr="00FF5DC0">
        <w:tc>
          <w:tcPr>
            <w:tcW w:w="1497" w:type="dxa"/>
            <w:vMerge/>
          </w:tcPr>
          <w:p w14:paraId="36CF04AF" w14:textId="77777777" w:rsidR="00FD1C2C" w:rsidRPr="00226703" w:rsidRDefault="00FD1C2C" w:rsidP="007F1EE5">
            <w:pPr>
              <w:rPr>
                <w:rStyle w:val="ui-provider"/>
                <w:rFonts w:ascii="Calibri" w:hAnsi="Calibri" w:cs="Calibri"/>
                <w:sz w:val="20"/>
                <w:szCs w:val="20"/>
              </w:rPr>
            </w:pPr>
          </w:p>
        </w:tc>
        <w:tc>
          <w:tcPr>
            <w:tcW w:w="1678" w:type="dxa"/>
          </w:tcPr>
          <w:p w14:paraId="3EF376A1"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Metastatic neoplasm</w:t>
            </w:r>
          </w:p>
        </w:tc>
        <w:tc>
          <w:tcPr>
            <w:tcW w:w="1103" w:type="dxa"/>
          </w:tcPr>
          <w:p w14:paraId="1D1ADC27"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2A7C7998"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04518341" w14:textId="77777777" w:rsidR="00FD1C2C" w:rsidRPr="00226703" w:rsidRDefault="00FD1C2C" w:rsidP="007F1EE5">
            <w:pPr>
              <w:rPr>
                <w:rFonts w:ascii="Calibri" w:hAnsi="Calibri" w:cs="Calibri"/>
                <w:sz w:val="20"/>
                <w:szCs w:val="20"/>
              </w:rPr>
            </w:pPr>
          </w:p>
        </w:tc>
      </w:tr>
      <w:tr w:rsidR="00FD1C2C" w:rsidRPr="00226703" w14:paraId="381191F0" w14:textId="77777777" w:rsidTr="00FF5DC0">
        <w:tc>
          <w:tcPr>
            <w:tcW w:w="1497" w:type="dxa"/>
            <w:vMerge w:val="restart"/>
          </w:tcPr>
          <w:p w14:paraId="16D39F19" w14:textId="77777777" w:rsidR="00FD1C2C" w:rsidRPr="00226703" w:rsidRDefault="00FD1C2C" w:rsidP="007F1EE5">
            <w:pPr>
              <w:rPr>
                <w:rFonts w:ascii="Calibri" w:hAnsi="Calibri" w:cs="Calibri"/>
                <w:b/>
                <w:bCs/>
                <w:sz w:val="20"/>
                <w:szCs w:val="20"/>
              </w:rPr>
            </w:pPr>
            <w:r w:rsidRPr="00226703">
              <w:rPr>
                <w:rStyle w:val="ui-provider"/>
                <w:rFonts w:ascii="Calibri" w:hAnsi="Calibri" w:cs="Calibri"/>
                <w:sz w:val="20"/>
                <w:szCs w:val="20"/>
              </w:rPr>
              <w:t>Histology closest before Pembrolizumab start (for lung cancer patients)</w:t>
            </w:r>
          </w:p>
        </w:tc>
        <w:tc>
          <w:tcPr>
            <w:tcW w:w="1678" w:type="dxa"/>
          </w:tcPr>
          <w:p w14:paraId="4F8B3F0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Non-squamous non-small cell lung cancer (NSCLC)</w:t>
            </w:r>
          </w:p>
        </w:tc>
        <w:tc>
          <w:tcPr>
            <w:tcW w:w="1103" w:type="dxa"/>
          </w:tcPr>
          <w:p w14:paraId="2BFCB054"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val="restart"/>
          </w:tcPr>
          <w:p w14:paraId="18054B61"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 xml:space="preserve">The histology type (squamous vs non-squamous) present closest before index event was retrieved. Categorization was performed into different groups: (1) squamous NSCLC (2) non-squamous NSCLC, or (3) other or unknown. </w:t>
            </w:r>
          </w:p>
        </w:tc>
        <w:tc>
          <w:tcPr>
            <w:tcW w:w="1104" w:type="dxa"/>
            <w:vMerge w:val="restart"/>
          </w:tcPr>
          <w:p w14:paraId="1E2978F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 and NLP</w:t>
            </w:r>
          </w:p>
        </w:tc>
      </w:tr>
      <w:tr w:rsidR="00FD1C2C" w:rsidRPr="00226703" w14:paraId="71C3AE21" w14:textId="77777777" w:rsidTr="00FF5DC0">
        <w:tc>
          <w:tcPr>
            <w:tcW w:w="1497" w:type="dxa"/>
            <w:vMerge/>
          </w:tcPr>
          <w:p w14:paraId="15187C9B" w14:textId="77777777" w:rsidR="00FD1C2C" w:rsidRPr="00226703" w:rsidRDefault="00FD1C2C" w:rsidP="007F1EE5">
            <w:pPr>
              <w:rPr>
                <w:rStyle w:val="ui-provider"/>
                <w:rFonts w:ascii="Calibri" w:hAnsi="Calibri" w:cs="Calibri"/>
                <w:sz w:val="20"/>
                <w:szCs w:val="20"/>
              </w:rPr>
            </w:pPr>
          </w:p>
        </w:tc>
        <w:tc>
          <w:tcPr>
            <w:tcW w:w="1678" w:type="dxa"/>
          </w:tcPr>
          <w:p w14:paraId="677106AB"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Squamous non-small cell lung cancer (NSCLC)</w:t>
            </w:r>
          </w:p>
        </w:tc>
        <w:tc>
          <w:tcPr>
            <w:tcW w:w="1103" w:type="dxa"/>
          </w:tcPr>
          <w:p w14:paraId="7619CF72"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573835E2"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2278077B" w14:textId="77777777" w:rsidR="00FD1C2C" w:rsidRPr="00226703" w:rsidRDefault="00FD1C2C" w:rsidP="007F1EE5">
            <w:pPr>
              <w:rPr>
                <w:rFonts w:ascii="Calibri" w:hAnsi="Calibri" w:cs="Calibri"/>
                <w:sz w:val="20"/>
                <w:szCs w:val="20"/>
              </w:rPr>
            </w:pPr>
          </w:p>
        </w:tc>
      </w:tr>
      <w:tr w:rsidR="00FD1C2C" w:rsidRPr="00226703" w14:paraId="55BFEB0B" w14:textId="77777777" w:rsidTr="00FF5DC0">
        <w:tc>
          <w:tcPr>
            <w:tcW w:w="1497" w:type="dxa"/>
          </w:tcPr>
          <w:p w14:paraId="7AFC2DE2"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Comorbid condition - Diabetes</w:t>
            </w:r>
          </w:p>
        </w:tc>
        <w:tc>
          <w:tcPr>
            <w:tcW w:w="1678" w:type="dxa"/>
          </w:tcPr>
          <w:p w14:paraId="377927B8" w14:textId="77777777" w:rsidR="00FD1C2C" w:rsidRPr="00226703" w:rsidRDefault="00FD1C2C" w:rsidP="007F1EE5">
            <w:pPr>
              <w:pStyle w:val="NormalWeb"/>
              <w:spacing w:after="240" w:afterAutospacing="0"/>
              <w:rPr>
                <w:rFonts w:ascii="Calibri" w:eastAsia="Proxima Nova" w:hAnsi="Calibri" w:cs="Calibri"/>
                <w:color w:val="253647"/>
                <w:sz w:val="20"/>
                <w:szCs w:val="20"/>
              </w:rPr>
            </w:pPr>
          </w:p>
          <w:p w14:paraId="3DF597FC" w14:textId="77777777" w:rsidR="00FD1C2C" w:rsidRPr="00226703" w:rsidRDefault="00FD1C2C" w:rsidP="007F1EE5">
            <w:pPr>
              <w:pStyle w:val="NormalWeb"/>
              <w:spacing w:after="240" w:afterAutospacing="0"/>
              <w:rPr>
                <w:rFonts w:ascii="Calibri" w:eastAsia="Proxima Nova" w:hAnsi="Calibri" w:cs="Calibri"/>
                <w:color w:val="253647"/>
                <w:sz w:val="20"/>
                <w:szCs w:val="20"/>
              </w:rPr>
            </w:pPr>
            <w:r w:rsidRPr="00226703">
              <w:rPr>
                <w:rFonts w:ascii="Calibri" w:eastAsia="Proxima Nova" w:hAnsi="Calibri" w:cs="Calibri"/>
                <w:color w:val="253647"/>
                <w:sz w:val="20"/>
                <w:szCs w:val="20"/>
              </w:rPr>
              <w:t>Diabetes mellitus</w:t>
            </w:r>
          </w:p>
        </w:tc>
        <w:tc>
          <w:tcPr>
            <w:tcW w:w="1103" w:type="dxa"/>
          </w:tcPr>
          <w:p w14:paraId="11D465BB"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tcPr>
          <w:p w14:paraId="1C4F7FD7" w14:textId="77777777" w:rsidR="00FD1C2C" w:rsidRPr="00226703" w:rsidRDefault="00FD1C2C" w:rsidP="007F1EE5">
            <w:pPr>
              <w:shd w:val="clear" w:color="auto" w:fill="FFFFFF" w:themeFill="background1"/>
              <w:rPr>
                <w:rFonts w:ascii="Calibri" w:eastAsia="Open Sans" w:hAnsi="Calibri" w:cs="Calibri"/>
                <w:sz w:val="20"/>
                <w:szCs w:val="20"/>
              </w:rPr>
            </w:pPr>
            <w:r w:rsidRPr="00226703">
              <w:rPr>
                <w:rFonts w:ascii="Calibri" w:hAnsi="Calibri" w:cs="Calibri"/>
                <w:sz w:val="20"/>
                <w:szCs w:val="20"/>
              </w:rPr>
              <w:t>When the first record of the datapoint was present before the index event, it was considered a comorbid condition.</w:t>
            </w:r>
            <w:r w:rsidRPr="00226703">
              <w:rPr>
                <w:rFonts w:ascii="Calibri" w:eastAsia="Roboto" w:hAnsi="Calibri" w:cs="Calibri"/>
                <w:sz w:val="20"/>
                <w:szCs w:val="20"/>
              </w:rPr>
              <w:t xml:space="preserve"> </w:t>
            </w:r>
            <w:r w:rsidRPr="00226703">
              <w:rPr>
                <w:rFonts w:ascii="Calibri" w:hAnsi="Calibri" w:cs="Calibri"/>
                <w:sz w:val="20"/>
                <w:szCs w:val="20"/>
              </w:rPr>
              <w:t xml:space="preserve">Gestational Diabetes was excluded as it is a transient condition. </w:t>
            </w:r>
          </w:p>
        </w:tc>
        <w:tc>
          <w:tcPr>
            <w:tcW w:w="1104" w:type="dxa"/>
          </w:tcPr>
          <w:p w14:paraId="30E82AD5"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 and NLP</w:t>
            </w:r>
          </w:p>
        </w:tc>
      </w:tr>
      <w:tr w:rsidR="00FD1C2C" w:rsidRPr="00226703" w14:paraId="2B0F02CA" w14:textId="77777777" w:rsidTr="00FF5DC0">
        <w:tc>
          <w:tcPr>
            <w:tcW w:w="1497" w:type="dxa"/>
          </w:tcPr>
          <w:p w14:paraId="3EA8F1A4"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Comorbid condition – Cardiac-CVD</w:t>
            </w:r>
          </w:p>
        </w:tc>
        <w:tc>
          <w:tcPr>
            <w:tcW w:w="1678" w:type="dxa"/>
          </w:tcPr>
          <w:p w14:paraId="724B08F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Cardiovascular disease</w:t>
            </w:r>
          </w:p>
        </w:tc>
        <w:tc>
          <w:tcPr>
            <w:tcW w:w="1103" w:type="dxa"/>
          </w:tcPr>
          <w:p w14:paraId="43A35374"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tcPr>
          <w:p w14:paraId="6BC568AC"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 xml:space="preserve">When the first mention of the datapoint was present before the index event, it was considered a comorbid condition. Following conditions under the hierarchy were excluded as being a cardiovascular comorbidity: “Hypotension” and “Varicose veins of lower extremity”. </w:t>
            </w:r>
          </w:p>
        </w:tc>
        <w:tc>
          <w:tcPr>
            <w:tcW w:w="1104" w:type="dxa"/>
          </w:tcPr>
          <w:p w14:paraId="0F4D7F08"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43FED56D" w14:textId="77777777" w:rsidTr="00FF5DC0">
        <w:tc>
          <w:tcPr>
            <w:tcW w:w="1497" w:type="dxa"/>
          </w:tcPr>
          <w:p w14:paraId="79EAD1A7"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Comorbid condition – COPD</w:t>
            </w:r>
          </w:p>
        </w:tc>
        <w:tc>
          <w:tcPr>
            <w:tcW w:w="1678" w:type="dxa"/>
          </w:tcPr>
          <w:p w14:paraId="4079DE71"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COPD</w:t>
            </w:r>
          </w:p>
        </w:tc>
        <w:tc>
          <w:tcPr>
            <w:tcW w:w="1103" w:type="dxa"/>
          </w:tcPr>
          <w:p w14:paraId="1E5768C0"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1A5A3D1B"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When the first mention of the datapoint was present before the index event, it was considered a comorbid condition. When the term “emphysema” was detected by NLP, it was not considered as COPD to avoid false positives resulting from radiology reports.</w:t>
            </w:r>
          </w:p>
        </w:tc>
        <w:tc>
          <w:tcPr>
            <w:tcW w:w="1104" w:type="dxa"/>
          </w:tcPr>
          <w:p w14:paraId="12E706DC"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 and NLP</w:t>
            </w:r>
          </w:p>
        </w:tc>
      </w:tr>
      <w:tr w:rsidR="00FD1C2C" w:rsidRPr="00226703" w14:paraId="1F0B5B06" w14:textId="77777777" w:rsidTr="00FF5DC0">
        <w:tc>
          <w:tcPr>
            <w:tcW w:w="1497" w:type="dxa"/>
          </w:tcPr>
          <w:p w14:paraId="224E9695"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Comorbid condition – Auto-immune diseases</w:t>
            </w:r>
          </w:p>
        </w:tc>
        <w:tc>
          <w:tcPr>
            <w:tcW w:w="1678" w:type="dxa"/>
          </w:tcPr>
          <w:p w14:paraId="3BF39FC1"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Auto-immune disease</w:t>
            </w:r>
          </w:p>
        </w:tc>
        <w:tc>
          <w:tcPr>
            <w:tcW w:w="1103" w:type="dxa"/>
          </w:tcPr>
          <w:p w14:paraId="0C448FD9"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3D4F3E6A"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When the first mention of the datapoint was present before the index event, it was considered a comorbid condition.</w:t>
            </w:r>
          </w:p>
        </w:tc>
        <w:tc>
          <w:tcPr>
            <w:tcW w:w="1104" w:type="dxa"/>
          </w:tcPr>
          <w:p w14:paraId="241A4665"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 and NLP</w:t>
            </w:r>
          </w:p>
        </w:tc>
      </w:tr>
      <w:tr w:rsidR="00FD1C2C" w:rsidRPr="00226703" w14:paraId="2D5F8F8E" w14:textId="77777777" w:rsidTr="00FF5DC0">
        <w:trPr>
          <w:trHeight w:val="844"/>
        </w:trPr>
        <w:tc>
          <w:tcPr>
            <w:tcW w:w="1497" w:type="dxa"/>
            <w:vMerge w:val="restart"/>
          </w:tcPr>
          <w:p w14:paraId="11AFAFDA"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Performance status closest before Pembrolizumab start</w:t>
            </w:r>
          </w:p>
        </w:tc>
        <w:tc>
          <w:tcPr>
            <w:tcW w:w="1678" w:type="dxa"/>
          </w:tcPr>
          <w:p w14:paraId="1BF9FA4A"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ECOG performance status finding</w:t>
            </w:r>
          </w:p>
        </w:tc>
        <w:tc>
          <w:tcPr>
            <w:tcW w:w="1103" w:type="dxa"/>
          </w:tcPr>
          <w:p w14:paraId="6003B648"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vMerge w:val="restart"/>
          </w:tcPr>
          <w:p w14:paraId="0974DA5A"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 xml:space="preserve">The latest performance status value (ECOG, WHO or </w:t>
            </w:r>
            <w:proofErr w:type="spellStart"/>
            <w:r w:rsidRPr="00226703">
              <w:rPr>
                <w:rFonts w:ascii="Calibri" w:hAnsi="Calibri" w:cs="Calibri"/>
                <w:sz w:val="20"/>
                <w:szCs w:val="20"/>
              </w:rPr>
              <w:t>Karnosfky</w:t>
            </w:r>
            <w:proofErr w:type="spellEnd"/>
            <w:r w:rsidRPr="00226703">
              <w:rPr>
                <w:rFonts w:ascii="Calibri" w:hAnsi="Calibri" w:cs="Calibri"/>
                <w:sz w:val="20"/>
                <w:szCs w:val="20"/>
              </w:rPr>
              <w:t xml:space="preserve">) prior to the index event was retrieved for each patient, with a time limit of 6 months before the index event. For WHO and ECOG scores of 0 </w:t>
            </w:r>
            <w:proofErr w:type="gramStart"/>
            <w:r w:rsidRPr="00226703">
              <w:rPr>
                <w:rFonts w:ascii="Calibri" w:hAnsi="Calibri" w:cs="Calibri"/>
                <w:sz w:val="20"/>
                <w:szCs w:val="20"/>
              </w:rPr>
              <w:t>where</w:t>
            </w:r>
            <w:proofErr w:type="gramEnd"/>
            <w:r w:rsidRPr="00226703">
              <w:rPr>
                <w:rFonts w:ascii="Calibri" w:hAnsi="Calibri" w:cs="Calibri"/>
                <w:sz w:val="20"/>
                <w:szCs w:val="20"/>
              </w:rPr>
              <w:t xml:space="preserve"> classified as 0, scores of 1 as 1 and scores equal or higher than 2 as 2+. When the score was ambiguous (e.g., WHO- score 1-2), the lowest value was consistently taken. For </w:t>
            </w:r>
            <w:proofErr w:type="spellStart"/>
            <w:r w:rsidRPr="00226703">
              <w:rPr>
                <w:rFonts w:ascii="Calibri" w:hAnsi="Calibri" w:cs="Calibri"/>
                <w:sz w:val="20"/>
                <w:szCs w:val="20"/>
              </w:rPr>
              <w:t>Karnosfky</w:t>
            </w:r>
            <w:proofErr w:type="spellEnd"/>
            <w:r w:rsidRPr="00226703">
              <w:rPr>
                <w:rFonts w:ascii="Calibri" w:hAnsi="Calibri" w:cs="Calibri"/>
                <w:sz w:val="20"/>
                <w:szCs w:val="20"/>
              </w:rPr>
              <w:t xml:space="preserve">, when the score was 100 the performance status was 0, when the score was between 80 and 90 the performance status was </w:t>
            </w:r>
            <w:r w:rsidRPr="00226703">
              <w:rPr>
                <w:rFonts w:ascii="Calibri" w:hAnsi="Calibri" w:cs="Calibri"/>
                <w:sz w:val="20"/>
                <w:szCs w:val="20"/>
              </w:rPr>
              <w:lastRenderedPageBreak/>
              <w:t xml:space="preserve">classified as 1. Scores equal to or lower than 70 were classified as 2+. </w:t>
            </w:r>
          </w:p>
        </w:tc>
        <w:tc>
          <w:tcPr>
            <w:tcW w:w="1104" w:type="dxa"/>
            <w:vMerge w:val="restart"/>
          </w:tcPr>
          <w:p w14:paraId="62E95B47"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lastRenderedPageBreak/>
              <w:t>NLP</w:t>
            </w:r>
          </w:p>
        </w:tc>
      </w:tr>
      <w:tr w:rsidR="00FD1C2C" w:rsidRPr="00226703" w14:paraId="24BEAA17" w14:textId="77777777" w:rsidTr="00FF5DC0">
        <w:tc>
          <w:tcPr>
            <w:tcW w:w="1497" w:type="dxa"/>
            <w:vMerge/>
          </w:tcPr>
          <w:p w14:paraId="46130F7B" w14:textId="77777777" w:rsidR="00FD1C2C" w:rsidRPr="00226703" w:rsidRDefault="00FD1C2C" w:rsidP="007F1EE5">
            <w:pPr>
              <w:rPr>
                <w:rFonts w:ascii="Calibri" w:hAnsi="Calibri" w:cs="Calibri"/>
                <w:sz w:val="20"/>
                <w:szCs w:val="20"/>
              </w:rPr>
            </w:pPr>
          </w:p>
        </w:tc>
        <w:tc>
          <w:tcPr>
            <w:tcW w:w="1678" w:type="dxa"/>
          </w:tcPr>
          <w:p w14:paraId="6445B3CE"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WHO performance status</w:t>
            </w:r>
          </w:p>
        </w:tc>
        <w:tc>
          <w:tcPr>
            <w:tcW w:w="1103" w:type="dxa"/>
          </w:tcPr>
          <w:p w14:paraId="610FC2AC"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34AC1C59"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49C85055" w14:textId="77777777" w:rsidR="00FD1C2C" w:rsidRPr="00226703" w:rsidRDefault="00FD1C2C" w:rsidP="007F1EE5">
            <w:pPr>
              <w:rPr>
                <w:rFonts w:ascii="Calibri" w:hAnsi="Calibri" w:cs="Calibri"/>
                <w:sz w:val="20"/>
                <w:szCs w:val="20"/>
              </w:rPr>
            </w:pPr>
          </w:p>
        </w:tc>
      </w:tr>
      <w:tr w:rsidR="00FD1C2C" w:rsidRPr="00226703" w14:paraId="0A24973E" w14:textId="77777777" w:rsidTr="00FF5DC0">
        <w:trPr>
          <w:trHeight w:val="300"/>
        </w:trPr>
        <w:tc>
          <w:tcPr>
            <w:tcW w:w="1497" w:type="dxa"/>
            <w:vMerge/>
          </w:tcPr>
          <w:p w14:paraId="41900CB2" w14:textId="77777777" w:rsidR="00FD1C2C" w:rsidRPr="00226703" w:rsidRDefault="00FD1C2C" w:rsidP="007F1EE5">
            <w:pPr>
              <w:rPr>
                <w:rFonts w:ascii="Calibri" w:hAnsi="Calibri" w:cs="Calibri"/>
                <w:sz w:val="20"/>
                <w:szCs w:val="20"/>
              </w:rPr>
            </w:pPr>
          </w:p>
        </w:tc>
        <w:tc>
          <w:tcPr>
            <w:tcW w:w="1678" w:type="dxa"/>
          </w:tcPr>
          <w:p w14:paraId="4E43E86C" w14:textId="77777777" w:rsidR="00FD1C2C" w:rsidRPr="00226703" w:rsidRDefault="00FD1C2C" w:rsidP="007F1EE5">
            <w:pPr>
              <w:spacing w:line="312" w:lineRule="auto"/>
              <w:rPr>
                <w:rFonts w:ascii="Calibri" w:hAnsi="Calibri" w:cs="Calibri"/>
                <w:sz w:val="20"/>
                <w:szCs w:val="20"/>
              </w:rPr>
            </w:pPr>
            <w:r w:rsidRPr="00226703">
              <w:rPr>
                <w:rFonts w:ascii="Calibri" w:hAnsi="Calibri" w:cs="Calibri"/>
                <w:sz w:val="20"/>
                <w:szCs w:val="20"/>
              </w:rPr>
              <w:t>Karnofsky Performance Status</w:t>
            </w:r>
          </w:p>
        </w:tc>
        <w:tc>
          <w:tcPr>
            <w:tcW w:w="1103" w:type="dxa"/>
          </w:tcPr>
          <w:p w14:paraId="1E38565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PO</w:t>
            </w:r>
          </w:p>
        </w:tc>
        <w:tc>
          <w:tcPr>
            <w:tcW w:w="3186" w:type="dxa"/>
            <w:vMerge/>
          </w:tcPr>
          <w:p w14:paraId="72544E85" w14:textId="77777777" w:rsidR="00FD1C2C" w:rsidRPr="00226703" w:rsidRDefault="00FD1C2C" w:rsidP="007F1EE5">
            <w:pPr>
              <w:rPr>
                <w:rFonts w:ascii="Calibri" w:hAnsi="Calibri" w:cs="Calibri"/>
                <w:sz w:val="20"/>
                <w:szCs w:val="20"/>
              </w:rPr>
            </w:pPr>
          </w:p>
        </w:tc>
        <w:tc>
          <w:tcPr>
            <w:tcW w:w="1104" w:type="dxa"/>
            <w:vMerge/>
          </w:tcPr>
          <w:p w14:paraId="27553024" w14:textId="77777777" w:rsidR="00FD1C2C" w:rsidRPr="00226703" w:rsidRDefault="00FD1C2C" w:rsidP="007F1EE5">
            <w:pPr>
              <w:rPr>
                <w:rFonts w:ascii="Calibri" w:hAnsi="Calibri" w:cs="Calibri"/>
                <w:sz w:val="20"/>
                <w:szCs w:val="20"/>
              </w:rPr>
            </w:pPr>
          </w:p>
        </w:tc>
      </w:tr>
      <w:tr w:rsidR="00FD1C2C" w:rsidRPr="00226703" w14:paraId="2E00DC63" w14:textId="77777777" w:rsidTr="00FF5DC0">
        <w:tc>
          <w:tcPr>
            <w:tcW w:w="1497" w:type="dxa"/>
          </w:tcPr>
          <w:p w14:paraId="38CAE7E9"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Tumor type</w:t>
            </w:r>
          </w:p>
        </w:tc>
        <w:tc>
          <w:tcPr>
            <w:tcW w:w="1678" w:type="dxa"/>
          </w:tcPr>
          <w:p w14:paraId="5B2FACEF"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Indication</w:t>
            </w:r>
            <w:r w:rsidRPr="00226703">
              <w:rPr>
                <w:rFonts w:ascii="Calibri" w:hAnsi="Calibri" w:cs="Calibri"/>
                <w:i/>
                <w:iCs/>
                <w:sz w:val="20"/>
                <w:szCs w:val="20"/>
              </w:rPr>
              <w:t xml:space="preserve"> </w:t>
            </w:r>
          </w:p>
        </w:tc>
        <w:tc>
          <w:tcPr>
            <w:tcW w:w="1103" w:type="dxa"/>
          </w:tcPr>
          <w:p w14:paraId="4F0A3E1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56FDD0F3"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Deduced from the indication (see Figure 1)</w:t>
            </w:r>
          </w:p>
        </w:tc>
        <w:tc>
          <w:tcPr>
            <w:tcW w:w="1104" w:type="dxa"/>
            <w:vMerge w:val="restart"/>
          </w:tcPr>
          <w:p w14:paraId="6245E22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Indications were created based on both structured and NLP data</w:t>
            </w:r>
          </w:p>
        </w:tc>
      </w:tr>
      <w:tr w:rsidR="00FD1C2C" w:rsidRPr="00226703" w14:paraId="1925E095" w14:textId="77777777" w:rsidTr="00FF5DC0">
        <w:tc>
          <w:tcPr>
            <w:tcW w:w="1497" w:type="dxa"/>
          </w:tcPr>
          <w:p w14:paraId="721397FB"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Treatment type</w:t>
            </w:r>
          </w:p>
        </w:tc>
        <w:tc>
          <w:tcPr>
            <w:tcW w:w="1678" w:type="dxa"/>
          </w:tcPr>
          <w:p w14:paraId="74BA661A"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Indication</w:t>
            </w:r>
            <w:r w:rsidRPr="00226703">
              <w:rPr>
                <w:rFonts w:ascii="Calibri" w:hAnsi="Calibri" w:cs="Calibri"/>
                <w:i/>
                <w:iCs/>
                <w:sz w:val="20"/>
                <w:szCs w:val="20"/>
              </w:rPr>
              <w:t xml:space="preserve"> </w:t>
            </w:r>
          </w:p>
        </w:tc>
        <w:tc>
          <w:tcPr>
            <w:tcW w:w="1103" w:type="dxa"/>
          </w:tcPr>
          <w:p w14:paraId="2DEBDF45"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4CE11C3A"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Deduced from the indication (see Figure 1)</w:t>
            </w:r>
          </w:p>
        </w:tc>
        <w:tc>
          <w:tcPr>
            <w:tcW w:w="1104" w:type="dxa"/>
            <w:vMerge/>
          </w:tcPr>
          <w:p w14:paraId="7304C5D1" w14:textId="77777777" w:rsidR="00FD1C2C" w:rsidRPr="00226703" w:rsidRDefault="00FD1C2C" w:rsidP="007F1EE5">
            <w:pPr>
              <w:rPr>
                <w:rFonts w:ascii="Calibri" w:hAnsi="Calibri" w:cs="Calibri"/>
                <w:sz w:val="20"/>
                <w:szCs w:val="20"/>
              </w:rPr>
            </w:pPr>
          </w:p>
        </w:tc>
      </w:tr>
      <w:tr w:rsidR="00FD1C2C" w:rsidRPr="00226703" w14:paraId="284D3C6C" w14:textId="77777777" w:rsidTr="00FF5DC0">
        <w:tc>
          <w:tcPr>
            <w:tcW w:w="1497" w:type="dxa"/>
          </w:tcPr>
          <w:p w14:paraId="5D257F21"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Line of therapy</w:t>
            </w:r>
          </w:p>
        </w:tc>
        <w:tc>
          <w:tcPr>
            <w:tcW w:w="1678" w:type="dxa"/>
          </w:tcPr>
          <w:p w14:paraId="028B0E60"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Indication</w:t>
            </w:r>
            <w:r w:rsidRPr="00226703">
              <w:rPr>
                <w:rFonts w:ascii="Calibri" w:hAnsi="Calibri" w:cs="Calibri"/>
                <w:i/>
                <w:iCs/>
                <w:sz w:val="20"/>
                <w:szCs w:val="20"/>
              </w:rPr>
              <w:t xml:space="preserve"> </w:t>
            </w:r>
          </w:p>
        </w:tc>
        <w:tc>
          <w:tcPr>
            <w:tcW w:w="1103" w:type="dxa"/>
          </w:tcPr>
          <w:p w14:paraId="2BB3363E"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tcPr>
          <w:p w14:paraId="1534B94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1L when indication contains ‘1L</w:t>
            </w:r>
            <w:proofErr w:type="gramStart"/>
            <w:r w:rsidRPr="00226703">
              <w:rPr>
                <w:rFonts w:ascii="Calibri" w:hAnsi="Calibri" w:cs="Calibri"/>
                <w:sz w:val="20"/>
                <w:szCs w:val="20"/>
              </w:rPr>
              <w:t>’ ,</w:t>
            </w:r>
            <w:proofErr w:type="gramEnd"/>
            <w:r w:rsidRPr="00226703">
              <w:rPr>
                <w:rFonts w:ascii="Calibri" w:hAnsi="Calibri" w:cs="Calibri"/>
                <w:sz w:val="20"/>
                <w:szCs w:val="20"/>
              </w:rPr>
              <w:t xml:space="preserve"> 2L when indications </w:t>
            </w:r>
            <w:proofErr w:type="gramStart"/>
            <w:r w:rsidRPr="00226703">
              <w:rPr>
                <w:rFonts w:ascii="Calibri" w:hAnsi="Calibri" w:cs="Calibri"/>
                <w:sz w:val="20"/>
                <w:szCs w:val="20"/>
              </w:rPr>
              <w:t>contains</w:t>
            </w:r>
            <w:proofErr w:type="gramEnd"/>
            <w:r w:rsidRPr="00226703">
              <w:rPr>
                <w:rFonts w:ascii="Calibri" w:hAnsi="Calibri" w:cs="Calibri"/>
                <w:sz w:val="20"/>
                <w:szCs w:val="20"/>
              </w:rPr>
              <w:t xml:space="preserve"> ‘2L’ (see Figure 1), otherwise</w:t>
            </w:r>
            <w:r w:rsidRPr="00226703" w:rsidDel="00805C19">
              <w:rPr>
                <w:rFonts w:ascii="Calibri" w:hAnsi="Calibri" w:cs="Calibri"/>
                <w:sz w:val="20"/>
                <w:szCs w:val="20"/>
              </w:rPr>
              <w:t xml:space="preserve"> </w:t>
            </w:r>
            <w:r w:rsidRPr="00226703">
              <w:rPr>
                <w:rFonts w:ascii="Calibri" w:hAnsi="Calibri" w:cs="Calibri"/>
                <w:sz w:val="20"/>
                <w:szCs w:val="20"/>
              </w:rPr>
              <w:t>blank</w:t>
            </w:r>
          </w:p>
        </w:tc>
        <w:tc>
          <w:tcPr>
            <w:tcW w:w="1104" w:type="dxa"/>
            <w:vMerge/>
          </w:tcPr>
          <w:p w14:paraId="22B5821C" w14:textId="77777777" w:rsidR="00FD1C2C" w:rsidRPr="00226703" w:rsidRDefault="00FD1C2C" w:rsidP="007F1EE5">
            <w:pPr>
              <w:rPr>
                <w:rFonts w:ascii="Calibri" w:hAnsi="Calibri" w:cs="Calibri"/>
                <w:sz w:val="20"/>
                <w:szCs w:val="20"/>
              </w:rPr>
            </w:pPr>
          </w:p>
        </w:tc>
      </w:tr>
      <w:tr w:rsidR="00FD1C2C" w:rsidRPr="00226703" w14:paraId="1D703AC5" w14:textId="77777777" w:rsidTr="00FF5DC0">
        <w:tc>
          <w:tcPr>
            <w:tcW w:w="1497" w:type="dxa"/>
            <w:vMerge w:val="restart"/>
          </w:tcPr>
          <w:p w14:paraId="3613C351"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Date of initial diagnosis</w:t>
            </w:r>
          </w:p>
        </w:tc>
        <w:tc>
          <w:tcPr>
            <w:tcW w:w="1678" w:type="dxa"/>
          </w:tcPr>
          <w:p w14:paraId="2F38CA3A"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Lung cancer</w:t>
            </w:r>
          </w:p>
        </w:tc>
        <w:tc>
          <w:tcPr>
            <w:tcW w:w="1103" w:type="dxa"/>
          </w:tcPr>
          <w:p w14:paraId="30B2D7B5"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PO</w:t>
            </w:r>
          </w:p>
        </w:tc>
        <w:tc>
          <w:tcPr>
            <w:tcW w:w="3186" w:type="dxa"/>
            <w:vMerge w:val="restart"/>
          </w:tcPr>
          <w:p w14:paraId="5809FCEA" w14:textId="77777777" w:rsidR="00FD1C2C" w:rsidRPr="00226703" w:rsidRDefault="00FD1C2C" w:rsidP="007F1EE5">
            <w:pPr>
              <w:shd w:val="clear" w:color="auto" w:fill="FFFFFF" w:themeFill="background1"/>
              <w:rPr>
                <w:rFonts w:ascii="Calibri" w:hAnsi="Calibri" w:cs="Calibri"/>
                <w:sz w:val="20"/>
                <w:szCs w:val="20"/>
              </w:rPr>
            </w:pPr>
            <w:r w:rsidRPr="00226703">
              <w:rPr>
                <w:rFonts w:ascii="Calibri" w:hAnsi="Calibri" w:cs="Calibri"/>
                <w:sz w:val="20"/>
                <w:szCs w:val="20"/>
              </w:rPr>
              <w:t xml:space="preserve">The first mention of the tumor type matching the indication was retrieved from the structured data of the hospital, which is used for reporting to the National cancer registry. </w:t>
            </w:r>
          </w:p>
        </w:tc>
        <w:tc>
          <w:tcPr>
            <w:tcW w:w="1104" w:type="dxa"/>
            <w:vMerge w:val="restart"/>
          </w:tcPr>
          <w:p w14:paraId="123885C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 xml:space="preserve">Structured </w:t>
            </w:r>
            <w:proofErr w:type="gramStart"/>
            <w:r w:rsidRPr="00226703">
              <w:rPr>
                <w:rFonts w:ascii="Calibri" w:hAnsi="Calibri" w:cs="Calibri"/>
                <w:sz w:val="20"/>
                <w:szCs w:val="20"/>
              </w:rPr>
              <w:t>data  source</w:t>
            </w:r>
            <w:proofErr w:type="gramEnd"/>
          </w:p>
        </w:tc>
      </w:tr>
      <w:tr w:rsidR="00FD1C2C" w:rsidRPr="00226703" w14:paraId="3D83E9DE" w14:textId="77777777" w:rsidTr="00FF5DC0">
        <w:tc>
          <w:tcPr>
            <w:tcW w:w="1497" w:type="dxa"/>
            <w:vMerge/>
          </w:tcPr>
          <w:p w14:paraId="758B627E" w14:textId="77777777" w:rsidR="00FD1C2C" w:rsidRPr="00226703" w:rsidRDefault="00FD1C2C" w:rsidP="007F1EE5">
            <w:pPr>
              <w:rPr>
                <w:rFonts w:ascii="Calibri" w:hAnsi="Calibri" w:cs="Calibri"/>
                <w:sz w:val="20"/>
                <w:szCs w:val="20"/>
              </w:rPr>
            </w:pPr>
          </w:p>
        </w:tc>
        <w:tc>
          <w:tcPr>
            <w:tcW w:w="1678" w:type="dxa"/>
          </w:tcPr>
          <w:p w14:paraId="7F4E6E2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Melanoma</w:t>
            </w:r>
          </w:p>
        </w:tc>
        <w:tc>
          <w:tcPr>
            <w:tcW w:w="1103" w:type="dxa"/>
          </w:tcPr>
          <w:p w14:paraId="7EE60F5C"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5AE83A3A"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1A0E9C03" w14:textId="77777777" w:rsidR="00FD1C2C" w:rsidRPr="00226703" w:rsidRDefault="00FD1C2C" w:rsidP="007F1EE5">
            <w:pPr>
              <w:rPr>
                <w:rFonts w:ascii="Calibri" w:hAnsi="Calibri" w:cs="Calibri"/>
                <w:sz w:val="20"/>
                <w:szCs w:val="20"/>
              </w:rPr>
            </w:pPr>
          </w:p>
        </w:tc>
      </w:tr>
      <w:tr w:rsidR="00FD1C2C" w:rsidRPr="00226703" w14:paraId="4052D871" w14:textId="77777777" w:rsidTr="00FF5DC0">
        <w:tc>
          <w:tcPr>
            <w:tcW w:w="1497" w:type="dxa"/>
            <w:vMerge/>
          </w:tcPr>
          <w:p w14:paraId="08AFCE22" w14:textId="77777777" w:rsidR="00FD1C2C" w:rsidRPr="00226703" w:rsidRDefault="00FD1C2C" w:rsidP="007F1EE5">
            <w:pPr>
              <w:rPr>
                <w:rFonts w:ascii="Calibri" w:hAnsi="Calibri" w:cs="Calibri"/>
                <w:sz w:val="20"/>
                <w:szCs w:val="20"/>
              </w:rPr>
            </w:pPr>
          </w:p>
        </w:tc>
        <w:tc>
          <w:tcPr>
            <w:tcW w:w="1678" w:type="dxa"/>
          </w:tcPr>
          <w:p w14:paraId="5B8391B7"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Classical Hodgkin lymphoma</w:t>
            </w:r>
          </w:p>
        </w:tc>
        <w:tc>
          <w:tcPr>
            <w:tcW w:w="1103" w:type="dxa"/>
          </w:tcPr>
          <w:p w14:paraId="617A0F7E"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22B131D6"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02D1A926" w14:textId="77777777" w:rsidR="00FD1C2C" w:rsidRPr="00226703" w:rsidRDefault="00FD1C2C" w:rsidP="007F1EE5">
            <w:pPr>
              <w:rPr>
                <w:rFonts w:ascii="Calibri" w:hAnsi="Calibri" w:cs="Calibri"/>
                <w:sz w:val="20"/>
                <w:szCs w:val="20"/>
              </w:rPr>
            </w:pPr>
          </w:p>
        </w:tc>
      </w:tr>
      <w:tr w:rsidR="00FD1C2C" w:rsidRPr="00226703" w14:paraId="00DF6CC1" w14:textId="77777777" w:rsidTr="00FF5DC0">
        <w:tc>
          <w:tcPr>
            <w:tcW w:w="1497" w:type="dxa"/>
            <w:vMerge/>
          </w:tcPr>
          <w:p w14:paraId="45464563" w14:textId="77777777" w:rsidR="00FD1C2C" w:rsidRPr="00226703" w:rsidRDefault="00FD1C2C" w:rsidP="007F1EE5">
            <w:pPr>
              <w:rPr>
                <w:rFonts w:ascii="Calibri" w:hAnsi="Calibri" w:cs="Calibri"/>
                <w:sz w:val="20"/>
                <w:szCs w:val="20"/>
              </w:rPr>
            </w:pPr>
          </w:p>
        </w:tc>
        <w:tc>
          <w:tcPr>
            <w:tcW w:w="1678" w:type="dxa"/>
          </w:tcPr>
          <w:p w14:paraId="33E0CBB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Urothelial carcinoma</w:t>
            </w:r>
          </w:p>
        </w:tc>
        <w:tc>
          <w:tcPr>
            <w:tcW w:w="1103" w:type="dxa"/>
          </w:tcPr>
          <w:p w14:paraId="51F51DA0"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437E68A7"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6381AD3A" w14:textId="77777777" w:rsidR="00FD1C2C" w:rsidRPr="00226703" w:rsidRDefault="00FD1C2C" w:rsidP="007F1EE5">
            <w:pPr>
              <w:rPr>
                <w:rFonts w:ascii="Calibri" w:hAnsi="Calibri" w:cs="Calibri"/>
                <w:sz w:val="20"/>
                <w:szCs w:val="20"/>
              </w:rPr>
            </w:pPr>
          </w:p>
        </w:tc>
      </w:tr>
      <w:tr w:rsidR="00FD1C2C" w:rsidRPr="00226703" w14:paraId="158D8E68" w14:textId="77777777" w:rsidTr="00FF5DC0">
        <w:tc>
          <w:tcPr>
            <w:tcW w:w="1497" w:type="dxa"/>
            <w:vMerge/>
          </w:tcPr>
          <w:p w14:paraId="165BE40F" w14:textId="77777777" w:rsidR="00FD1C2C" w:rsidRPr="00226703" w:rsidRDefault="00FD1C2C" w:rsidP="007F1EE5">
            <w:pPr>
              <w:rPr>
                <w:rFonts w:ascii="Calibri" w:hAnsi="Calibri" w:cs="Calibri"/>
                <w:sz w:val="20"/>
                <w:szCs w:val="20"/>
              </w:rPr>
            </w:pPr>
          </w:p>
        </w:tc>
        <w:tc>
          <w:tcPr>
            <w:tcW w:w="1678" w:type="dxa"/>
          </w:tcPr>
          <w:p w14:paraId="5E48D2EA"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Transitional cell carcinoma of ureter</w:t>
            </w:r>
          </w:p>
        </w:tc>
        <w:tc>
          <w:tcPr>
            <w:tcW w:w="1103" w:type="dxa"/>
          </w:tcPr>
          <w:p w14:paraId="2AD03A95"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11642093"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494274F4" w14:textId="77777777" w:rsidR="00FD1C2C" w:rsidRPr="00226703" w:rsidRDefault="00FD1C2C" w:rsidP="007F1EE5">
            <w:pPr>
              <w:rPr>
                <w:rFonts w:ascii="Calibri" w:hAnsi="Calibri" w:cs="Calibri"/>
                <w:sz w:val="20"/>
                <w:szCs w:val="20"/>
              </w:rPr>
            </w:pPr>
          </w:p>
        </w:tc>
      </w:tr>
      <w:tr w:rsidR="00FD1C2C" w:rsidRPr="00226703" w14:paraId="593C221A" w14:textId="77777777" w:rsidTr="00FF5DC0">
        <w:tc>
          <w:tcPr>
            <w:tcW w:w="1497" w:type="dxa"/>
            <w:vMerge/>
          </w:tcPr>
          <w:p w14:paraId="729CF67B" w14:textId="77777777" w:rsidR="00FD1C2C" w:rsidRPr="00226703" w:rsidRDefault="00FD1C2C" w:rsidP="007F1EE5">
            <w:pPr>
              <w:rPr>
                <w:rFonts w:ascii="Calibri" w:hAnsi="Calibri" w:cs="Calibri"/>
                <w:sz w:val="20"/>
                <w:szCs w:val="20"/>
              </w:rPr>
            </w:pPr>
          </w:p>
        </w:tc>
        <w:tc>
          <w:tcPr>
            <w:tcW w:w="1678" w:type="dxa"/>
          </w:tcPr>
          <w:p w14:paraId="0AA8D090"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Transitional cell carcinoma of kidney</w:t>
            </w:r>
          </w:p>
        </w:tc>
        <w:tc>
          <w:tcPr>
            <w:tcW w:w="1103" w:type="dxa"/>
          </w:tcPr>
          <w:p w14:paraId="0955CBCE"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3B7846BF"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103EEDF9" w14:textId="77777777" w:rsidR="00FD1C2C" w:rsidRPr="00226703" w:rsidRDefault="00FD1C2C" w:rsidP="007F1EE5">
            <w:pPr>
              <w:rPr>
                <w:rFonts w:ascii="Calibri" w:hAnsi="Calibri" w:cs="Calibri"/>
                <w:sz w:val="20"/>
                <w:szCs w:val="20"/>
              </w:rPr>
            </w:pPr>
          </w:p>
        </w:tc>
      </w:tr>
      <w:tr w:rsidR="00FD1C2C" w:rsidRPr="00226703" w14:paraId="69953676" w14:textId="77777777" w:rsidTr="00FF5DC0">
        <w:tc>
          <w:tcPr>
            <w:tcW w:w="1497" w:type="dxa"/>
            <w:vMerge/>
          </w:tcPr>
          <w:p w14:paraId="72F52592" w14:textId="77777777" w:rsidR="00FD1C2C" w:rsidRPr="00226703" w:rsidRDefault="00FD1C2C" w:rsidP="007F1EE5">
            <w:pPr>
              <w:rPr>
                <w:rFonts w:ascii="Calibri" w:hAnsi="Calibri" w:cs="Calibri"/>
                <w:sz w:val="20"/>
                <w:szCs w:val="20"/>
              </w:rPr>
            </w:pPr>
          </w:p>
        </w:tc>
        <w:tc>
          <w:tcPr>
            <w:tcW w:w="1678" w:type="dxa"/>
          </w:tcPr>
          <w:p w14:paraId="41AF41FB"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Transitional cell carcinoma of bladder</w:t>
            </w:r>
          </w:p>
        </w:tc>
        <w:tc>
          <w:tcPr>
            <w:tcW w:w="1103" w:type="dxa"/>
          </w:tcPr>
          <w:p w14:paraId="7B832268"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70CBE305"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58D11EBE" w14:textId="77777777" w:rsidR="00FD1C2C" w:rsidRPr="00226703" w:rsidRDefault="00FD1C2C" w:rsidP="007F1EE5">
            <w:pPr>
              <w:rPr>
                <w:rFonts w:ascii="Calibri" w:hAnsi="Calibri" w:cs="Calibri"/>
                <w:sz w:val="20"/>
                <w:szCs w:val="20"/>
              </w:rPr>
            </w:pPr>
          </w:p>
        </w:tc>
      </w:tr>
      <w:tr w:rsidR="00FD1C2C" w:rsidRPr="00226703" w14:paraId="7DD220E2" w14:textId="77777777" w:rsidTr="00FF5DC0">
        <w:tc>
          <w:tcPr>
            <w:tcW w:w="1497" w:type="dxa"/>
            <w:vMerge/>
          </w:tcPr>
          <w:p w14:paraId="1C574C19" w14:textId="77777777" w:rsidR="00FD1C2C" w:rsidRPr="00226703" w:rsidRDefault="00FD1C2C" w:rsidP="007F1EE5">
            <w:pPr>
              <w:rPr>
                <w:rFonts w:ascii="Calibri" w:hAnsi="Calibri" w:cs="Calibri"/>
                <w:sz w:val="20"/>
                <w:szCs w:val="20"/>
              </w:rPr>
            </w:pPr>
          </w:p>
        </w:tc>
        <w:tc>
          <w:tcPr>
            <w:tcW w:w="1678" w:type="dxa"/>
          </w:tcPr>
          <w:p w14:paraId="5C0F1EE4"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Primary malignant neoplasm of bladder</w:t>
            </w:r>
          </w:p>
        </w:tc>
        <w:tc>
          <w:tcPr>
            <w:tcW w:w="1103" w:type="dxa"/>
          </w:tcPr>
          <w:p w14:paraId="4B20F96D"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4B0DBA51"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68B18898" w14:textId="77777777" w:rsidR="00FD1C2C" w:rsidRPr="00226703" w:rsidRDefault="00FD1C2C" w:rsidP="007F1EE5">
            <w:pPr>
              <w:rPr>
                <w:rFonts w:ascii="Calibri" w:hAnsi="Calibri" w:cs="Calibri"/>
                <w:sz w:val="20"/>
                <w:szCs w:val="20"/>
              </w:rPr>
            </w:pPr>
          </w:p>
        </w:tc>
      </w:tr>
      <w:tr w:rsidR="00FD1C2C" w:rsidRPr="00226703" w14:paraId="1159151A" w14:textId="77777777" w:rsidTr="00FF5DC0">
        <w:tc>
          <w:tcPr>
            <w:tcW w:w="1497" w:type="dxa"/>
            <w:vMerge/>
          </w:tcPr>
          <w:p w14:paraId="01446D00" w14:textId="77777777" w:rsidR="00FD1C2C" w:rsidRPr="00226703" w:rsidRDefault="00FD1C2C" w:rsidP="007F1EE5">
            <w:pPr>
              <w:rPr>
                <w:rFonts w:ascii="Calibri" w:hAnsi="Calibri" w:cs="Calibri"/>
                <w:sz w:val="20"/>
                <w:szCs w:val="20"/>
              </w:rPr>
            </w:pPr>
          </w:p>
        </w:tc>
        <w:tc>
          <w:tcPr>
            <w:tcW w:w="1678" w:type="dxa"/>
          </w:tcPr>
          <w:p w14:paraId="391645E2"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Renal cell carcinoma</w:t>
            </w:r>
          </w:p>
        </w:tc>
        <w:tc>
          <w:tcPr>
            <w:tcW w:w="1103" w:type="dxa"/>
          </w:tcPr>
          <w:p w14:paraId="2683C160"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279E4FC0"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7F664459" w14:textId="77777777" w:rsidR="00FD1C2C" w:rsidRPr="00226703" w:rsidRDefault="00FD1C2C" w:rsidP="007F1EE5">
            <w:pPr>
              <w:rPr>
                <w:rFonts w:ascii="Calibri" w:hAnsi="Calibri" w:cs="Calibri"/>
                <w:sz w:val="20"/>
                <w:szCs w:val="20"/>
              </w:rPr>
            </w:pPr>
          </w:p>
        </w:tc>
      </w:tr>
      <w:tr w:rsidR="00FD1C2C" w:rsidRPr="00226703" w14:paraId="13F59F4C" w14:textId="77777777" w:rsidTr="00FF5DC0">
        <w:tc>
          <w:tcPr>
            <w:tcW w:w="1497" w:type="dxa"/>
            <w:vMerge/>
          </w:tcPr>
          <w:p w14:paraId="218B4935" w14:textId="77777777" w:rsidR="00FD1C2C" w:rsidRPr="00226703" w:rsidRDefault="00FD1C2C" w:rsidP="007F1EE5">
            <w:pPr>
              <w:rPr>
                <w:rFonts w:ascii="Calibri" w:hAnsi="Calibri" w:cs="Calibri"/>
                <w:sz w:val="20"/>
                <w:szCs w:val="20"/>
              </w:rPr>
            </w:pPr>
          </w:p>
        </w:tc>
        <w:tc>
          <w:tcPr>
            <w:tcW w:w="1678" w:type="dxa"/>
          </w:tcPr>
          <w:p w14:paraId="77844A05"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Head and neck cancer</w:t>
            </w:r>
          </w:p>
        </w:tc>
        <w:tc>
          <w:tcPr>
            <w:tcW w:w="1103" w:type="dxa"/>
          </w:tcPr>
          <w:p w14:paraId="2918A4DE"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3179A6A6"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22FB0B85" w14:textId="77777777" w:rsidR="00FD1C2C" w:rsidRPr="00226703" w:rsidRDefault="00FD1C2C" w:rsidP="007F1EE5">
            <w:pPr>
              <w:rPr>
                <w:rFonts w:ascii="Calibri" w:hAnsi="Calibri" w:cs="Calibri"/>
                <w:sz w:val="20"/>
                <w:szCs w:val="20"/>
              </w:rPr>
            </w:pPr>
          </w:p>
        </w:tc>
      </w:tr>
      <w:tr w:rsidR="00FD1C2C" w:rsidRPr="00226703" w14:paraId="614CA8FB" w14:textId="77777777" w:rsidTr="00FF5DC0">
        <w:tc>
          <w:tcPr>
            <w:tcW w:w="1497" w:type="dxa"/>
            <w:vMerge/>
          </w:tcPr>
          <w:p w14:paraId="50ECE001" w14:textId="77777777" w:rsidR="00FD1C2C" w:rsidRPr="00226703" w:rsidRDefault="00FD1C2C" w:rsidP="007F1EE5">
            <w:pPr>
              <w:rPr>
                <w:rFonts w:ascii="Calibri" w:hAnsi="Calibri" w:cs="Calibri"/>
                <w:sz w:val="20"/>
                <w:szCs w:val="20"/>
              </w:rPr>
            </w:pPr>
          </w:p>
        </w:tc>
        <w:tc>
          <w:tcPr>
            <w:tcW w:w="1678" w:type="dxa"/>
          </w:tcPr>
          <w:p w14:paraId="2A5A657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Colorectal carcinoma</w:t>
            </w:r>
          </w:p>
        </w:tc>
        <w:tc>
          <w:tcPr>
            <w:tcW w:w="1103" w:type="dxa"/>
          </w:tcPr>
          <w:p w14:paraId="68F2B382"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41DD6E0C"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66D3AACF" w14:textId="77777777" w:rsidR="00FD1C2C" w:rsidRPr="00226703" w:rsidRDefault="00FD1C2C" w:rsidP="007F1EE5">
            <w:pPr>
              <w:rPr>
                <w:rFonts w:ascii="Calibri" w:hAnsi="Calibri" w:cs="Calibri"/>
                <w:sz w:val="20"/>
                <w:szCs w:val="20"/>
              </w:rPr>
            </w:pPr>
          </w:p>
        </w:tc>
      </w:tr>
      <w:tr w:rsidR="00FD1C2C" w:rsidRPr="00226703" w14:paraId="07F07299" w14:textId="77777777" w:rsidTr="00FF5DC0">
        <w:tc>
          <w:tcPr>
            <w:tcW w:w="1497" w:type="dxa"/>
            <w:vMerge/>
          </w:tcPr>
          <w:p w14:paraId="54FB8098" w14:textId="77777777" w:rsidR="00FD1C2C" w:rsidRPr="00226703" w:rsidRDefault="00FD1C2C" w:rsidP="007F1EE5">
            <w:pPr>
              <w:rPr>
                <w:rFonts w:ascii="Calibri" w:hAnsi="Calibri" w:cs="Calibri"/>
                <w:sz w:val="20"/>
                <w:szCs w:val="20"/>
              </w:rPr>
            </w:pPr>
          </w:p>
        </w:tc>
        <w:tc>
          <w:tcPr>
            <w:tcW w:w="1678" w:type="dxa"/>
          </w:tcPr>
          <w:p w14:paraId="4F81382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Esophageal carcinoma</w:t>
            </w:r>
          </w:p>
        </w:tc>
        <w:tc>
          <w:tcPr>
            <w:tcW w:w="1103" w:type="dxa"/>
          </w:tcPr>
          <w:p w14:paraId="2B53664A"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3987FAFA"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0B41759" w14:textId="77777777" w:rsidR="00FD1C2C" w:rsidRPr="00226703" w:rsidRDefault="00FD1C2C" w:rsidP="007F1EE5">
            <w:pPr>
              <w:rPr>
                <w:rFonts w:ascii="Calibri" w:hAnsi="Calibri" w:cs="Calibri"/>
                <w:sz w:val="20"/>
                <w:szCs w:val="20"/>
              </w:rPr>
            </w:pPr>
          </w:p>
        </w:tc>
      </w:tr>
      <w:tr w:rsidR="00FD1C2C" w:rsidRPr="00226703" w14:paraId="0EAD0CC1" w14:textId="77777777" w:rsidTr="00FF5DC0">
        <w:tc>
          <w:tcPr>
            <w:tcW w:w="1497" w:type="dxa"/>
            <w:vMerge/>
          </w:tcPr>
          <w:p w14:paraId="2E691314" w14:textId="77777777" w:rsidR="00FD1C2C" w:rsidRPr="00226703" w:rsidRDefault="00FD1C2C" w:rsidP="007F1EE5">
            <w:pPr>
              <w:rPr>
                <w:rFonts w:ascii="Calibri" w:hAnsi="Calibri" w:cs="Calibri"/>
                <w:sz w:val="20"/>
                <w:szCs w:val="20"/>
              </w:rPr>
            </w:pPr>
          </w:p>
        </w:tc>
        <w:tc>
          <w:tcPr>
            <w:tcW w:w="1678" w:type="dxa"/>
          </w:tcPr>
          <w:p w14:paraId="100DA249"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Malignant neoplasm of gastroesophageal junction</w:t>
            </w:r>
          </w:p>
        </w:tc>
        <w:tc>
          <w:tcPr>
            <w:tcW w:w="1103" w:type="dxa"/>
          </w:tcPr>
          <w:p w14:paraId="761790F3"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0120B098"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5E236380" w14:textId="77777777" w:rsidR="00FD1C2C" w:rsidRPr="00226703" w:rsidRDefault="00FD1C2C" w:rsidP="007F1EE5">
            <w:pPr>
              <w:rPr>
                <w:rFonts w:ascii="Calibri" w:hAnsi="Calibri" w:cs="Calibri"/>
                <w:sz w:val="20"/>
                <w:szCs w:val="20"/>
              </w:rPr>
            </w:pPr>
          </w:p>
        </w:tc>
      </w:tr>
      <w:tr w:rsidR="00FD1C2C" w:rsidRPr="00226703" w14:paraId="7B020012" w14:textId="77777777" w:rsidTr="00FF5DC0">
        <w:tc>
          <w:tcPr>
            <w:tcW w:w="1497" w:type="dxa"/>
            <w:vMerge/>
          </w:tcPr>
          <w:p w14:paraId="1FCF1298" w14:textId="77777777" w:rsidR="00FD1C2C" w:rsidRPr="00226703" w:rsidRDefault="00FD1C2C" w:rsidP="007F1EE5">
            <w:pPr>
              <w:rPr>
                <w:rFonts w:ascii="Calibri" w:hAnsi="Calibri" w:cs="Calibri"/>
                <w:sz w:val="20"/>
                <w:szCs w:val="20"/>
              </w:rPr>
            </w:pPr>
          </w:p>
        </w:tc>
        <w:tc>
          <w:tcPr>
            <w:tcW w:w="1678" w:type="dxa"/>
          </w:tcPr>
          <w:p w14:paraId="660919D3"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Breast cancer</w:t>
            </w:r>
          </w:p>
        </w:tc>
        <w:tc>
          <w:tcPr>
            <w:tcW w:w="1103" w:type="dxa"/>
          </w:tcPr>
          <w:p w14:paraId="06308DDF"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0FBF4BCD"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8CBBC42" w14:textId="77777777" w:rsidR="00FD1C2C" w:rsidRPr="00226703" w:rsidRDefault="00FD1C2C" w:rsidP="007F1EE5">
            <w:pPr>
              <w:rPr>
                <w:rFonts w:ascii="Calibri" w:hAnsi="Calibri" w:cs="Calibri"/>
                <w:sz w:val="20"/>
                <w:szCs w:val="20"/>
              </w:rPr>
            </w:pPr>
          </w:p>
        </w:tc>
      </w:tr>
      <w:tr w:rsidR="00FD1C2C" w:rsidRPr="00226703" w14:paraId="7C0B3993" w14:textId="77777777" w:rsidTr="00FF5DC0">
        <w:tc>
          <w:tcPr>
            <w:tcW w:w="1497" w:type="dxa"/>
            <w:vMerge/>
          </w:tcPr>
          <w:p w14:paraId="16C9B96A" w14:textId="77777777" w:rsidR="00FD1C2C" w:rsidRPr="00226703" w:rsidRDefault="00FD1C2C" w:rsidP="007F1EE5">
            <w:pPr>
              <w:rPr>
                <w:rFonts w:ascii="Calibri" w:hAnsi="Calibri" w:cs="Calibri"/>
                <w:sz w:val="20"/>
                <w:szCs w:val="20"/>
              </w:rPr>
            </w:pPr>
          </w:p>
        </w:tc>
        <w:tc>
          <w:tcPr>
            <w:tcW w:w="1678" w:type="dxa"/>
          </w:tcPr>
          <w:p w14:paraId="53DAC92F"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Endometrial cancer</w:t>
            </w:r>
          </w:p>
        </w:tc>
        <w:tc>
          <w:tcPr>
            <w:tcW w:w="1103" w:type="dxa"/>
          </w:tcPr>
          <w:p w14:paraId="0B64FA53"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3BE40B5C"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6948DA8" w14:textId="77777777" w:rsidR="00FD1C2C" w:rsidRPr="00226703" w:rsidRDefault="00FD1C2C" w:rsidP="007F1EE5">
            <w:pPr>
              <w:rPr>
                <w:rFonts w:ascii="Calibri" w:hAnsi="Calibri" w:cs="Calibri"/>
                <w:sz w:val="20"/>
                <w:szCs w:val="20"/>
              </w:rPr>
            </w:pPr>
          </w:p>
        </w:tc>
      </w:tr>
      <w:tr w:rsidR="00FD1C2C" w:rsidRPr="00226703" w14:paraId="15BA03F9" w14:textId="77777777" w:rsidTr="00FF5DC0">
        <w:tc>
          <w:tcPr>
            <w:tcW w:w="1497" w:type="dxa"/>
            <w:vMerge w:val="restart"/>
          </w:tcPr>
          <w:p w14:paraId="55ACAA8C" w14:textId="77777777" w:rsidR="00FD1C2C" w:rsidRPr="00226703" w:rsidRDefault="00FD1C2C" w:rsidP="007F1EE5">
            <w:pPr>
              <w:rPr>
                <w:rFonts w:ascii="Calibri" w:hAnsi="Calibri" w:cs="Calibri"/>
                <w:b/>
                <w:bCs/>
                <w:sz w:val="20"/>
                <w:szCs w:val="20"/>
              </w:rPr>
            </w:pPr>
            <w:r w:rsidRPr="00226703">
              <w:rPr>
                <w:rFonts w:ascii="Calibri" w:hAnsi="Calibri" w:cs="Calibri"/>
                <w:sz w:val="20"/>
                <w:szCs w:val="20"/>
              </w:rPr>
              <w:t>Time between initial diagnosis and Pembrolizumab treatment start</w:t>
            </w:r>
          </w:p>
        </w:tc>
        <w:tc>
          <w:tcPr>
            <w:tcW w:w="1678" w:type="dxa"/>
          </w:tcPr>
          <w:p w14:paraId="5C17974C"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Date of initial diagnosis</w:t>
            </w:r>
          </w:p>
        </w:tc>
        <w:tc>
          <w:tcPr>
            <w:tcW w:w="1103" w:type="dxa"/>
          </w:tcPr>
          <w:p w14:paraId="101421AB"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val="restart"/>
          </w:tcPr>
          <w:p w14:paraId="6F5C558A" w14:textId="77777777" w:rsidR="00FD1C2C" w:rsidRPr="00226703" w:rsidRDefault="00FD1C2C" w:rsidP="007F1EE5">
            <w:pPr>
              <w:shd w:val="clear" w:color="auto" w:fill="FFFFFF"/>
              <w:rPr>
                <w:rFonts w:ascii="Calibri" w:hAnsi="Calibri" w:cs="Calibri"/>
                <w:sz w:val="20"/>
                <w:szCs w:val="20"/>
              </w:rPr>
            </w:pPr>
          </w:p>
          <w:p w14:paraId="444A86B8"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Time between date of initial diagnosis and Pembrolizumab start date (in days)</w:t>
            </w:r>
          </w:p>
        </w:tc>
        <w:tc>
          <w:tcPr>
            <w:tcW w:w="1104" w:type="dxa"/>
            <w:vMerge w:val="restart"/>
          </w:tcPr>
          <w:p w14:paraId="7A1F16C9" w14:textId="77777777" w:rsidR="00FD1C2C" w:rsidRPr="00226703" w:rsidRDefault="00FD1C2C" w:rsidP="007F1EE5">
            <w:pPr>
              <w:rPr>
                <w:rFonts w:ascii="Calibri" w:hAnsi="Calibri" w:cs="Calibri"/>
                <w:sz w:val="20"/>
                <w:szCs w:val="20"/>
              </w:rPr>
            </w:pPr>
            <w:r w:rsidRPr="00226703">
              <w:rPr>
                <w:rFonts w:ascii="Calibri" w:hAnsi="Calibri" w:cs="Calibri"/>
                <w:sz w:val="20"/>
                <w:szCs w:val="20"/>
              </w:rPr>
              <w:t>Structured data source</w:t>
            </w:r>
          </w:p>
        </w:tc>
      </w:tr>
      <w:tr w:rsidR="00FD1C2C" w:rsidRPr="00226703" w14:paraId="27D6C493" w14:textId="77777777" w:rsidTr="00FF5DC0">
        <w:tc>
          <w:tcPr>
            <w:tcW w:w="1497" w:type="dxa"/>
            <w:vMerge/>
          </w:tcPr>
          <w:p w14:paraId="1C37311D" w14:textId="77777777" w:rsidR="00FD1C2C" w:rsidRPr="00226703" w:rsidRDefault="00FD1C2C" w:rsidP="007F1EE5">
            <w:pPr>
              <w:rPr>
                <w:rFonts w:ascii="Calibri" w:hAnsi="Calibri" w:cs="Calibri"/>
                <w:sz w:val="20"/>
                <w:szCs w:val="20"/>
              </w:rPr>
            </w:pPr>
          </w:p>
        </w:tc>
        <w:tc>
          <w:tcPr>
            <w:tcW w:w="1678" w:type="dxa"/>
          </w:tcPr>
          <w:p w14:paraId="0C63EE38" w14:textId="77777777" w:rsidR="00FD1C2C" w:rsidRPr="00226703" w:rsidRDefault="00FD1C2C" w:rsidP="007F1EE5">
            <w:pPr>
              <w:rPr>
                <w:rFonts w:ascii="Calibri" w:hAnsi="Calibri" w:cs="Calibri"/>
                <w:i/>
                <w:iCs/>
                <w:sz w:val="20"/>
                <w:szCs w:val="20"/>
                <w:u w:val="single"/>
              </w:rPr>
            </w:pPr>
            <w:r w:rsidRPr="00226703">
              <w:rPr>
                <w:rFonts w:ascii="Calibri" w:hAnsi="Calibri" w:cs="Calibri"/>
                <w:i/>
                <w:iCs/>
                <w:sz w:val="20"/>
                <w:szCs w:val="20"/>
                <w:u w:val="single"/>
              </w:rPr>
              <w:t>Pembrolizumab start date</w:t>
            </w:r>
          </w:p>
        </w:tc>
        <w:tc>
          <w:tcPr>
            <w:tcW w:w="1103" w:type="dxa"/>
          </w:tcPr>
          <w:p w14:paraId="70B69529" w14:textId="77777777" w:rsidR="00FD1C2C" w:rsidRPr="00226703" w:rsidRDefault="00FD1C2C" w:rsidP="007F1EE5">
            <w:pPr>
              <w:shd w:val="clear" w:color="auto" w:fill="FFFFFF"/>
              <w:rPr>
                <w:rFonts w:ascii="Calibri" w:hAnsi="Calibri" w:cs="Calibri"/>
                <w:sz w:val="20"/>
                <w:szCs w:val="20"/>
              </w:rPr>
            </w:pPr>
            <w:r w:rsidRPr="00226703">
              <w:rPr>
                <w:rFonts w:ascii="Calibri" w:hAnsi="Calibri" w:cs="Calibri"/>
                <w:sz w:val="20"/>
                <w:szCs w:val="20"/>
              </w:rPr>
              <w:t>PO</w:t>
            </w:r>
          </w:p>
        </w:tc>
        <w:tc>
          <w:tcPr>
            <w:tcW w:w="3186" w:type="dxa"/>
            <w:vMerge/>
          </w:tcPr>
          <w:p w14:paraId="2785364A" w14:textId="77777777" w:rsidR="00FD1C2C" w:rsidRPr="00226703" w:rsidRDefault="00FD1C2C" w:rsidP="007F1EE5">
            <w:pPr>
              <w:shd w:val="clear" w:color="auto" w:fill="FFFFFF"/>
              <w:rPr>
                <w:rFonts w:ascii="Calibri" w:hAnsi="Calibri" w:cs="Calibri"/>
                <w:sz w:val="20"/>
                <w:szCs w:val="20"/>
              </w:rPr>
            </w:pPr>
          </w:p>
        </w:tc>
        <w:tc>
          <w:tcPr>
            <w:tcW w:w="1104" w:type="dxa"/>
            <w:vMerge/>
          </w:tcPr>
          <w:p w14:paraId="3C807A0B" w14:textId="77777777" w:rsidR="00FD1C2C" w:rsidRPr="00226703" w:rsidRDefault="00FD1C2C" w:rsidP="007F1EE5">
            <w:pPr>
              <w:rPr>
                <w:rFonts w:ascii="Calibri" w:hAnsi="Calibri" w:cs="Calibri"/>
                <w:sz w:val="20"/>
                <w:szCs w:val="20"/>
              </w:rPr>
            </w:pPr>
          </w:p>
        </w:tc>
      </w:tr>
    </w:tbl>
    <w:p w14:paraId="5AF57DB7" w14:textId="77777777" w:rsidR="003A7964" w:rsidRDefault="003A7964">
      <w:pPr>
        <w:rPr>
          <w:rFonts w:ascii="Calibri" w:hAnsi="Calibri" w:cs="Calibri"/>
        </w:rPr>
      </w:pPr>
    </w:p>
    <w:p w14:paraId="2FAFA2DB" w14:textId="49D3108C" w:rsidR="00DF07BF" w:rsidRDefault="00DF07BF">
      <w:pPr>
        <w:rPr>
          <w:rFonts w:ascii="Calibri" w:hAnsi="Calibri" w:cs="Calibri"/>
        </w:rPr>
      </w:pPr>
    </w:p>
    <w:p w14:paraId="4440D828" w14:textId="10789F58" w:rsidR="009D2101" w:rsidRPr="009D2101" w:rsidRDefault="00EA084C" w:rsidP="009D2101">
      <w:pPr>
        <w:rPr>
          <w:rFonts w:ascii="Calibri" w:hAnsi="Calibri" w:cs="Calibri"/>
          <w:bCs/>
          <w:color w:val="000000"/>
        </w:rPr>
      </w:pPr>
      <w:r>
        <w:rPr>
          <w:rFonts w:ascii="Calibri" w:hAnsi="Calibri" w:cs="Calibri"/>
          <w:b/>
          <w:color w:val="000000"/>
        </w:rPr>
        <w:t xml:space="preserve">Supplementary </w:t>
      </w:r>
      <w:r w:rsidRPr="00884547">
        <w:rPr>
          <w:rFonts w:ascii="Calibri" w:hAnsi="Calibri" w:cs="Calibri"/>
          <w:b/>
          <w:color w:val="000000"/>
        </w:rPr>
        <w:t xml:space="preserve">Table </w:t>
      </w:r>
      <w:r>
        <w:rPr>
          <w:rFonts w:ascii="Calibri" w:hAnsi="Calibri" w:cs="Calibri"/>
          <w:b/>
          <w:color w:val="000000"/>
        </w:rPr>
        <w:t>5</w:t>
      </w:r>
      <w:r w:rsidRPr="00884547">
        <w:rPr>
          <w:rFonts w:ascii="Calibri" w:hAnsi="Calibri" w:cs="Calibri"/>
          <w:b/>
          <w:color w:val="000000"/>
        </w:rPr>
        <w:t xml:space="preserve">. </w:t>
      </w:r>
      <w:r w:rsidR="009D2101" w:rsidRPr="009D2101">
        <w:rPr>
          <w:rFonts w:ascii="Calibri" w:hAnsi="Calibri" w:cs="Calibri"/>
          <w:bCs/>
          <w:color w:val="000000"/>
        </w:rPr>
        <w:t>Pembrolizumab dosing schedules according to COVID-19-related time periods.</w:t>
      </w:r>
    </w:p>
    <w:tbl>
      <w:tblPr>
        <w:tblStyle w:val="TableGridLight"/>
        <w:tblW w:w="5000" w:type="pct"/>
        <w:tblLook w:val="04A0" w:firstRow="1" w:lastRow="0" w:firstColumn="1" w:lastColumn="0" w:noHBand="0" w:noVBand="1"/>
      </w:tblPr>
      <w:tblGrid>
        <w:gridCol w:w="2551"/>
        <w:gridCol w:w="1556"/>
        <w:gridCol w:w="1575"/>
        <w:gridCol w:w="1834"/>
        <w:gridCol w:w="1834"/>
      </w:tblGrid>
      <w:tr w:rsidR="009D2101" w:rsidRPr="00EA084C" w14:paraId="355929C9" w14:textId="77777777" w:rsidTr="00021AF7">
        <w:trPr>
          <w:trHeight w:val="270"/>
        </w:trPr>
        <w:tc>
          <w:tcPr>
            <w:tcW w:w="1364" w:type="pct"/>
            <w:hideMark/>
          </w:tcPr>
          <w:p w14:paraId="06B14AAE" w14:textId="77777777" w:rsidR="009D2101" w:rsidRPr="00EA084C" w:rsidRDefault="009D2101" w:rsidP="00021AF7">
            <w:pPr>
              <w:textAlignment w:val="baseline"/>
              <w:rPr>
                <w:rFonts w:ascii="Calibri" w:eastAsia="Times New Roman" w:hAnsi="Calibri" w:cs="Calibri"/>
                <w:b/>
                <w:bCs/>
                <w:kern w:val="0"/>
                <w:sz w:val="20"/>
                <w:szCs w:val="20"/>
                <w14:ligatures w14:val="none"/>
              </w:rPr>
            </w:pPr>
          </w:p>
          <w:p w14:paraId="5A8AA803" w14:textId="77777777" w:rsidR="009D2101" w:rsidRPr="00EA084C" w:rsidRDefault="009D2101" w:rsidP="00021AF7">
            <w:pPr>
              <w:textAlignment w:val="baseline"/>
              <w:rPr>
                <w:rFonts w:ascii="Calibri" w:eastAsia="Times New Roman" w:hAnsi="Calibri" w:cs="Calibri"/>
                <w:kern w:val="0"/>
                <w:sz w:val="20"/>
                <w:szCs w:val="20"/>
                <w14:ligatures w14:val="none"/>
              </w:rPr>
            </w:pPr>
          </w:p>
        </w:tc>
        <w:tc>
          <w:tcPr>
            <w:tcW w:w="832" w:type="pct"/>
            <w:hideMark/>
          </w:tcPr>
          <w:p w14:paraId="145C5AC7" w14:textId="77777777" w:rsidR="009D2101" w:rsidRPr="00EA084C" w:rsidRDefault="009D2101" w:rsidP="00021AF7">
            <w:pPr>
              <w:jc w:val="center"/>
              <w:textAlignment w:val="baseline"/>
              <w:rPr>
                <w:rFonts w:ascii="Calibri" w:eastAsia="Times New Roman" w:hAnsi="Calibri" w:cs="Calibri"/>
                <w:b/>
                <w:bCs/>
                <w:kern w:val="0"/>
                <w:sz w:val="20"/>
                <w:szCs w:val="20"/>
                <w14:ligatures w14:val="none"/>
              </w:rPr>
            </w:pPr>
            <w:r w:rsidRPr="00EA084C">
              <w:rPr>
                <w:rFonts w:ascii="Calibri" w:eastAsia="Times New Roman" w:hAnsi="Calibri" w:cs="Calibri"/>
                <w:b/>
                <w:bCs/>
                <w:kern w:val="0"/>
                <w:sz w:val="20"/>
                <w:szCs w:val="20"/>
                <w14:ligatures w14:val="none"/>
              </w:rPr>
              <w:t>SD only</w:t>
            </w:r>
          </w:p>
          <w:p w14:paraId="3613360C" w14:textId="41CB8AE9"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 of SD initiators)</w:t>
            </w:r>
          </w:p>
        </w:tc>
        <w:tc>
          <w:tcPr>
            <w:tcW w:w="842" w:type="pct"/>
            <w:hideMark/>
          </w:tcPr>
          <w:p w14:paraId="1A0D3537" w14:textId="77777777" w:rsidR="009D2101" w:rsidRPr="00EA084C" w:rsidRDefault="009D2101" w:rsidP="00021AF7">
            <w:pPr>
              <w:jc w:val="center"/>
              <w:textAlignment w:val="baseline"/>
              <w:rPr>
                <w:rFonts w:ascii="Calibri" w:eastAsia="Times New Roman" w:hAnsi="Calibri" w:cs="Calibri"/>
                <w:b/>
                <w:bCs/>
                <w:kern w:val="0"/>
                <w:sz w:val="20"/>
                <w:szCs w:val="20"/>
                <w14:ligatures w14:val="none"/>
              </w:rPr>
            </w:pPr>
            <w:r w:rsidRPr="00EA084C">
              <w:rPr>
                <w:rFonts w:ascii="Calibri" w:eastAsia="Times New Roman" w:hAnsi="Calibri" w:cs="Calibri"/>
                <w:b/>
                <w:bCs/>
                <w:kern w:val="0"/>
                <w:sz w:val="20"/>
                <w:szCs w:val="20"/>
                <w14:ligatures w14:val="none"/>
              </w:rPr>
              <w:t>ED only</w:t>
            </w:r>
          </w:p>
          <w:p w14:paraId="07BF4411"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 of ED initiators)</w:t>
            </w:r>
          </w:p>
        </w:tc>
        <w:tc>
          <w:tcPr>
            <w:tcW w:w="981" w:type="pct"/>
            <w:hideMark/>
          </w:tcPr>
          <w:p w14:paraId="4FA305C9" w14:textId="77777777" w:rsidR="009D2101" w:rsidRPr="00EA084C" w:rsidRDefault="009D2101" w:rsidP="00021AF7">
            <w:pPr>
              <w:jc w:val="center"/>
              <w:textAlignment w:val="baseline"/>
              <w:rPr>
                <w:rFonts w:ascii="Calibri" w:eastAsia="Times New Roman" w:hAnsi="Calibri" w:cs="Calibri"/>
                <w:b/>
                <w:bCs/>
                <w:kern w:val="0"/>
                <w:sz w:val="20"/>
                <w:szCs w:val="20"/>
                <w14:ligatures w14:val="none"/>
              </w:rPr>
            </w:pPr>
            <w:r w:rsidRPr="00EA084C">
              <w:rPr>
                <w:rFonts w:ascii="Calibri" w:eastAsia="Times New Roman" w:hAnsi="Calibri" w:cs="Calibri"/>
                <w:b/>
                <w:bCs/>
                <w:kern w:val="0"/>
                <w:sz w:val="20"/>
                <w:szCs w:val="20"/>
                <w14:ligatures w14:val="none"/>
              </w:rPr>
              <w:t>SD to ED</w:t>
            </w:r>
          </w:p>
          <w:p w14:paraId="3C21C00B" w14:textId="77777777" w:rsidR="009D2101" w:rsidRPr="00EA084C" w:rsidRDefault="009D2101" w:rsidP="00021AF7">
            <w:pPr>
              <w:jc w:val="center"/>
              <w:textAlignment w:val="baseline"/>
              <w:rPr>
                <w:rFonts w:ascii="Calibri" w:eastAsia="Times New Roman" w:hAnsi="Calibri" w:cs="Calibri"/>
                <w:b/>
                <w:bCs/>
                <w:kern w:val="0"/>
                <w:sz w:val="20"/>
                <w:szCs w:val="20"/>
                <w14:ligatures w14:val="none"/>
              </w:rPr>
            </w:pPr>
            <w:r w:rsidRPr="00EA084C">
              <w:rPr>
                <w:rFonts w:ascii="Calibri" w:eastAsia="Times New Roman" w:hAnsi="Calibri" w:cs="Calibri"/>
                <w:b/>
                <w:bCs/>
                <w:kern w:val="0"/>
                <w:sz w:val="20"/>
                <w:szCs w:val="20"/>
                <w14:ligatures w14:val="none"/>
              </w:rPr>
              <w:t>and stay</w:t>
            </w:r>
          </w:p>
          <w:p w14:paraId="75D13F88"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 of SD initiators)</w:t>
            </w:r>
          </w:p>
        </w:tc>
        <w:tc>
          <w:tcPr>
            <w:tcW w:w="981" w:type="pct"/>
            <w:hideMark/>
          </w:tcPr>
          <w:p w14:paraId="777F46EE" w14:textId="77777777" w:rsidR="009D2101" w:rsidRPr="00EA084C" w:rsidRDefault="009D2101" w:rsidP="00021AF7">
            <w:pPr>
              <w:jc w:val="center"/>
              <w:textAlignment w:val="baseline"/>
              <w:rPr>
                <w:rFonts w:ascii="Calibri" w:eastAsia="Times New Roman" w:hAnsi="Calibri" w:cs="Calibri"/>
                <w:b/>
                <w:bCs/>
                <w:kern w:val="0"/>
                <w:sz w:val="20"/>
                <w:szCs w:val="20"/>
                <w14:ligatures w14:val="none"/>
              </w:rPr>
            </w:pPr>
            <w:r w:rsidRPr="00EA084C">
              <w:rPr>
                <w:rFonts w:ascii="Calibri" w:eastAsia="Times New Roman" w:hAnsi="Calibri" w:cs="Calibri"/>
                <w:b/>
                <w:bCs/>
                <w:kern w:val="0"/>
                <w:sz w:val="20"/>
                <w:szCs w:val="20"/>
                <w14:ligatures w14:val="none"/>
              </w:rPr>
              <w:t>Start SD more than 1 switch</w:t>
            </w:r>
          </w:p>
          <w:p w14:paraId="68D1027B"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 of SD initiators)</w:t>
            </w:r>
          </w:p>
        </w:tc>
      </w:tr>
      <w:tr w:rsidR="009D2101" w:rsidRPr="00EA084C" w14:paraId="39A87845" w14:textId="77777777" w:rsidTr="00021AF7">
        <w:trPr>
          <w:trHeight w:val="270"/>
        </w:trPr>
        <w:tc>
          <w:tcPr>
            <w:tcW w:w="1364" w:type="pct"/>
            <w:hideMark/>
          </w:tcPr>
          <w:p w14:paraId="38A4DC96" w14:textId="77777777" w:rsidR="009D2101" w:rsidRPr="00EA084C" w:rsidRDefault="009D2101" w:rsidP="00021AF7">
            <w:pPr>
              <w:textAlignment w:val="baseline"/>
              <w:rPr>
                <w:rFonts w:ascii="Calibri" w:eastAsia="Times New Roman" w:hAnsi="Calibri" w:cs="Calibri"/>
                <w:color w:val="253647"/>
                <w:kern w:val="0"/>
                <w:sz w:val="20"/>
                <w:szCs w:val="20"/>
                <w14:ligatures w14:val="none"/>
              </w:rPr>
            </w:pPr>
            <w:r w:rsidRPr="00EA084C">
              <w:rPr>
                <w:rFonts w:ascii="Calibri" w:eastAsia="Times New Roman" w:hAnsi="Calibri" w:cs="Calibri"/>
                <w:kern w:val="0"/>
                <w:sz w:val="20"/>
                <w:szCs w:val="20"/>
                <w14:ligatures w14:val="none"/>
              </w:rPr>
              <w:t>Pre-COVID-19 period, n (%)</w:t>
            </w:r>
          </w:p>
        </w:tc>
        <w:tc>
          <w:tcPr>
            <w:tcW w:w="832" w:type="pct"/>
            <w:hideMark/>
          </w:tcPr>
          <w:p w14:paraId="27AF34CB"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44 (85)</w:t>
            </w:r>
          </w:p>
        </w:tc>
        <w:tc>
          <w:tcPr>
            <w:tcW w:w="842" w:type="pct"/>
            <w:hideMark/>
          </w:tcPr>
          <w:p w14:paraId="07892278"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6 (100)​</w:t>
            </w:r>
          </w:p>
        </w:tc>
        <w:tc>
          <w:tcPr>
            <w:tcW w:w="981" w:type="pct"/>
            <w:hideMark/>
          </w:tcPr>
          <w:p w14:paraId="32FC1D73"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5 (10)</w:t>
            </w:r>
          </w:p>
        </w:tc>
        <w:tc>
          <w:tcPr>
            <w:tcW w:w="981" w:type="pct"/>
            <w:hideMark/>
          </w:tcPr>
          <w:p w14:paraId="0D02A60A"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&lt;5​</w:t>
            </w:r>
          </w:p>
        </w:tc>
      </w:tr>
      <w:tr w:rsidR="009D2101" w:rsidRPr="00EA084C" w14:paraId="5E29D1C1" w14:textId="77777777" w:rsidTr="00021AF7">
        <w:trPr>
          <w:trHeight w:val="270"/>
        </w:trPr>
        <w:tc>
          <w:tcPr>
            <w:tcW w:w="1364" w:type="pct"/>
          </w:tcPr>
          <w:p w14:paraId="0F1AB01C" w14:textId="77777777" w:rsidR="009D2101" w:rsidRPr="00EA084C" w:rsidRDefault="009D2101" w:rsidP="00021AF7">
            <w:pP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COVID-19 period, n (%)</w:t>
            </w:r>
          </w:p>
        </w:tc>
        <w:tc>
          <w:tcPr>
            <w:tcW w:w="832" w:type="pct"/>
          </w:tcPr>
          <w:p w14:paraId="0DE2C8C3"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102 (89)​</w:t>
            </w:r>
          </w:p>
        </w:tc>
        <w:tc>
          <w:tcPr>
            <w:tcW w:w="842" w:type="pct"/>
          </w:tcPr>
          <w:p w14:paraId="503CA938"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11 (100)</w:t>
            </w:r>
          </w:p>
        </w:tc>
        <w:tc>
          <w:tcPr>
            <w:tcW w:w="981" w:type="pct"/>
          </w:tcPr>
          <w:p w14:paraId="4234B504"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11 (10)</w:t>
            </w:r>
          </w:p>
        </w:tc>
        <w:tc>
          <w:tcPr>
            <w:tcW w:w="981" w:type="pct"/>
          </w:tcPr>
          <w:p w14:paraId="7B1134F7" w14:textId="77777777" w:rsidR="009D2101" w:rsidRPr="00EA084C" w:rsidRDefault="009D2101" w:rsidP="00021AF7">
            <w:pPr>
              <w:jc w:val="center"/>
              <w:textAlignment w:val="baseline"/>
              <w:rPr>
                <w:rFonts w:ascii="Calibri" w:eastAsia="Times New Roman" w:hAnsi="Calibri" w:cs="Calibri"/>
                <w:kern w:val="0"/>
                <w:sz w:val="20"/>
                <w:szCs w:val="20"/>
                <w14:ligatures w14:val="none"/>
              </w:rPr>
            </w:pPr>
            <w:r w:rsidRPr="00EA084C">
              <w:rPr>
                <w:rFonts w:ascii="Calibri" w:eastAsia="Times New Roman" w:hAnsi="Calibri" w:cs="Calibri"/>
                <w:kern w:val="0"/>
                <w:sz w:val="20"/>
                <w:szCs w:val="20"/>
                <w14:ligatures w14:val="none"/>
              </w:rPr>
              <w:t>&lt;5​</w:t>
            </w:r>
          </w:p>
        </w:tc>
      </w:tr>
      <w:tr w:rsidR="00DA399B" w:rsidRPr="00EA084C" w14:paraId="453E7742" w14:textId="77777777" w:rsidTr="00DA399B">
        <w:trPr>
          <w:trHeight w:val="270"/>
        </w:trPr>
        <w:tc>
          <w:tcPr>
            <w:tcW w:w="5000" w:type="pct"/>
            <w:gridSpan w:val="5"/>
          </w:tcPr>
          <w:p w14:paraId="3B479C28" w14:textId="2BA70912" w:rsidR="00DA399B" w:rsidRPr="00EA084C" w:rsidRDefault="00144823" w:rsidP="004949F0">
            <w:pPr>
              <w:textAlignment w:val="baseline"/>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SD initiators pre-COVID-19</w:t>
            </w:r>
            <w:r w:rsidR="00837C38">
              <w:rPr>
                <w:rFonts w:ascii="Calibri" w:eastAsia="Times New Roman" w:hAnsi="Calibri" w:cs="Calibri"/>
                <w:kern w:val="0"/>
                <w:sz w:val="20"/>
                <w:szCs w:val="20"/>
                <w14:ligatures w14:val="none"/>
              </w:rPr>
              <w:t>:</w:t>
            </w:r>
            <w:r>
              <w:rPr>
                <w:rFonts w:ascii="Calibri" w:eastAsia="Times New Roman" w:hAnsi="Calibri" w:cs="Calibri"/>
                <w:kern w:val="0"/>
                <w:sz w:val="20"/>
                <w:szCs w:val="20"/>
                <w14:ligatures w14:val="none"/>
              </w:rPr>
              <w:t xml:space="preserve"> </w:t>
            </w:r>
            <w:r w:rsidR="003A0C29">
              <w:rPr>
                <w:rFonts w:ascii="Calibri" w:eastAsia="Times New Roman" w:hAnsi="Calibri" w:cs="Calibri"/>
                <w:kern w:val="0"/>
                <w:sz w:val="20"/>
                <w:szCs w:val="20"/>
                <w14:ligatures w14:val="none"/>
              </w:rPr>
              <w:t xml:space="preserve">52 </w:t>
            </w:r>
            <w:r>
              <w:rPr>
                <w:rFonts w:ascii="Calibri" w:eastAsia="Times New Roman" w:hAnsi="Calibri" w:cs="Calibri"/>
                <w:kern w:val="0"/>
                <w:sz w:val="20"/>
                <w:szCs w:val="20"/>
                <w14:ligatures w14:val="none"/>
              </w:rPr>
              <w:t>patients</w:t>
            </w:r>
            <w:r w:rsidR="00837C38">
              <w:rPr>
                <w:rFonts w:ascii="Calibri" w:eastAsia="Times New Roman" w:hAnsi="Calibri" w:cs="Calibri"/>
                <w:kern w:val="0"/>
                <w:sz w:val="20"/>
                <w:szCs w:val="20"/>
                <w14:ligatures w14:val="none"/>
              </w:rPr>
              <w:t>;</w:t>
            </w:r>
            <w:r>
              <w:rPr>
                <w:rFonts w:ascii="Calibri" w:eastAsia="Times New Roman" w:hAnsi="Calibri" w:cs="Calibri"/>
                <w:kern w:val="0"/>
                <w:sz w:val="20"/>
                <w:szCs w:val="20"/>
                <w14:ligatures w14:val="none"/>
              </w:rPr>
              <w:t xml:space="preserve"> </w:t>
            </w:r>
            <w:r w:rsidR="00837C38">
              <w:rPr>
                <w:rFonts w:ascii="Calibri" w:eastAsia="Times New Roman" w:hAnsi="Calibri" w:cs="Calibri"/>
                <w:kern w:val="0"/>
                <w:sz w:val="20"/>
                <w:szCs w:val="20"/>
                <w14:ligatures w14:val="none"/>
              </w:rPr>
              <w:t xml:space="preserve">SD initiators COVID-19: </w:t>
            </w:r>
            <w:r w:rsidR="001A6835">
              <w:rPr>
                <w:rFonts w:ascii="Calibri" w:eastAsia="Times New Roman" w:hAnsi="Calibri" w:cs="Calibri"/>
                <w:kern w:val="0"/>
                <w:sz w:val="20"/>
                <w:szCs w:val="20"/>
                <w14:ligatures w14:val="none"/>
              </w:rPr>
              <w:t xml:space="preserve">115 </w:t>
            </w:r>
            <w:r w:rsidR="00837C38">
              <w:rPr>
                <w:rFonts w:ascii="Calibri" w:eastAsia="Times New Roman" w:hAnsi="Calibri" w:cs="Calibri"/>
                <w:kern w:val="0"/>
                <w:sz w:val="20"/>
                <w:szCs w:val="20"/>
                <w14:ligatures w14:val="none"/>
              </w:rPr>
              <w:t xml:space="preserve">patients; </w:t>
            </w:r>
            <w:r>
              <w:rPr>
                <w:rFonts w:ascii="Calibri" w:eastAsia="Times New Roman" w:hAnsi="Calibri" w:cs="Calibri"/>
                <w:kern w:val="0"/>
                <w:sz w:val="20"/>
                <w:szCs w:val="20"/>
                <w14:ligatures w14:val="none"/>
              </w:rPr>
              <w:t>ED initiators</w:t>
            </w:r>
            <w:r w:rsidR="00837C38">
              <w:rPr>
                <w:rFonts w:ascii="Calibri" w:eastAsia="Times New Roman" w:hAnsi="Calibri" w:cs="Calibri"/>
                <w:kern w:val="0"/>
                <w:sz w:val="20"/>
                <w:szCs w:val="20"/>
                <w14:ligatures w14:val="none"/>
              </w:rPr>
              <w:t xml:space="preserve"> pre-COVID-19:</w:t>
            </w:r>
            <w:r>
              <w:rPr>
                <w:rFonts w:ascii="Calibri" w:eastAsia="Times New Roman" w:hAnsi="Calibri" w:cs="Calibri"/>
                <w:kern w:val="0"/>
                <w:sz w:val="20"/>
                <w:szCs w:val="20"/>
                <w14:ligatures w14:val="none"/>
              </w:rPr>
              <w:t xml:space="preserve"> </w:t>
            </w:r>
            <w:r w:rsidR="001A6835">
              <w:rPr>
                <w:rFonts w:ascii="Calibri" w:eastAsia="Times New Roman" w:hAnsi="Calibri" w:cs="Calibri"/>
                <w:kern w:val="0"/>
                <w:sz w:val="20"/>
                <w:szCs w:val="20"/>
                <w14:ligatures w14:val="none"/>
              </w:rPr>
              <w:t xml:space="preserve">6 </w:t>
            </w:r>
            <w:r>
              <w:rPr>
                <w:rFonts w:ascii="Calibri" w:eastAsia="Times New Roman" w:hAnsi="Calibri" w:cs="Calibri"/>
                <w:kern w:val="0"/>
                <w:sz w:val="20"/>
                <w:szCs w:val="20"/>
                <w14:ligatures w14:val="none"/>
              </w:rPr>
              <w:t>patients</w:t>
            </w:r>
            <w:r w:rsidR="003A0C29">
              <w:rPr>
                <w:rFonts w:ascii="Calibri" w:eastAsia="Times New Roman" w:hAnsi="Calibri" w:cs="Calibri"/>
                <w:kern w:val="0"/>
                <w:sz w:val="20"/>
                <w:szCs w:val="20"/>
                <w14:ligatures w14:val="none"/>
              </w:rPr>
              <w:t>; ED initiators COVID-19:</w:t>
            </w:r>
            <w:r w:rsidR="001A6835">
              <w:rPr>
                <w:rFonts w:ascii="Calibri" w:eastAsia="Times New Roman" w:hAnsi="Calibri" w:cs="Calibri"/>
                <w:kern w:val="0"/>
                <w:sz w:val="20"/>
                <w:szCs w:val="20"/>
                <w14:ligatures w14:val="none"/>
              </w:rPr>
              <w:t xml:space="preserve"> 11</w:t>
            </w:r>
            <w:r w:rsidR="003A0C29">
              <w:rPr>
                <w:rFonts w:ascii="Calibri" w:eastAsia="Times New Roman" w:hAnsi="Calibri" w:cs="Calibri"/>
                <w:kern w:val="0"/>
                <w:sz w:val="20"/>
                <w:szCs w:val="20"/>
                <w14:ligatures w14:val="none"/>
              </w:rPr>
              <w:t xml:space="preserve"> patients</w:t>
            </w:r>
            <w:r w:rsidR="001A6835">
              <w:rPr>
                <w:rFonts w:ascii="Calibri" w:eastAsia="Times New Roman" w:hAnsi="Calibri" w:cs="Calibri"/>
                <w:kern w:val="0"/>
                <w:sz w:val="20"/>
                <w:szCs w:val="20"/>
                <w14:ligatures w14:val="none"/>
              </w:rPr>
              <w:t>.</w:t>
            </w:r>
          </w:p>
        </w:tc>
      </w:tr>
    </w:tbl>
    <w:p w14:paraId="7EBD6E63" w14:textId="77777777" w:rsidR="009D2101" w:rsidRDefault="009D2101" w:rsidP="00884547">
      <w:pPr>
        <w:rPr>
          <w:rFonts w:ascii="Calibri" w:hAnsi="Calibri" w:cs="Calibri"/>
          <w:b/>
          <w:color w:val="000000"/>
        </w:rPr>
      </w:pPr>
    </w:p>
    <w:sectPr w:rsidR="009D210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31213" w14:textId="77777777" w:rsidR="002B26F3" w:rsidRDefault="002B26F3" w:rsidP="00FF5DC0">
      <w:pPr>
        <w:spacing w:after="0" w:line="240" w:lineRule="auto"/>
      </w:pPr>
      <w:r>
        <w:separator/>
      </w:r>
    </w:p>
  </w:endnote>
  <w:endnote w:type="continuationSeparator" w:id="0">
    <w:p w14:paraId="295E0236" w14:textId="77777777" w:rsidR="002B26F3" w:rsidRDefault="002B26F3" w:rsidP="00FF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roxima Nova">
    <w:altName w:val="Tahoma"/>
    <w:charset w:val="00"/>
    <w:family w:val="auto"/>
    <w:pitch w:val="default"/>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25752"/>
      <w:docPartObj>
        <w:docPartGallery w:val="Page Numbers (Bottom of Page)"/>
        <w:docPartUnique/>
      </w:docPartObj>
    </w:sdtPr>
    <w:sdtEndPr>
      <w:rPr>
        <w:noProof/>
      </w:rPr>
    </w:sdtEndPr>
    <w:sdtContent>
      <w:p w14:paraId="37FC3DBE" w14:textId="49B9FE41" w:rsidR="00FF5DC0" w:rsidRDefault="00FF5D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D33ABF" w14:textId="77777777" w:rsidR="00FF5DC0" w:rsidRDefault="00FF5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597B" w14:textId="77777777" w:rsidR="002B26F3" w:rsidRDefault="002B26F3" w:rsidP="00FF5DC0">
      <w:pPr>
        <w:spacing w:after="0" w:line="240" w:lineRule="auto"/>
      </w:pPr>
      <w:r>
        <w:separator/>
      </w:r>
    </w:p>
  </w:footnote>
  <w:footnote w:type="continuationSeparator" w:id="0">
    <w:p w14:paraId="75FEA4CD" w14:textId="77777777" w:rsidR="002B26F3" w:rsidRDefault="002B26F3" w:rsidP="00FF5D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C2C"/>
    <w:rsid w:val="00087FFB"/>
    <w:rsid w:val="0009338D"/>
    <w:rsid w:val="000E4C46"/>
    <w:rsid w:val="00144823"/>
    <w:rsid w:val="0016733E"/>
    <w:rsid w:val="00187C1F"/>
    <w:rsid w:val="001A6835"/>
    <w:rsid w:val="001A7DEB"/>
    <w:rsid w:val="00216731"/>
    <w:rsid w:val="00226703"/>
    <w:rsid w:val="002B26F3"/>
    <w:rsid w:val="003238DB"/>
    <w:rsid w:val="003A0C29"/>
    <w:rsid w:val="003A7964"/>
    <w:rsid w:val="003E78BA"/>
    <w:rsid w:val="00407026"/>
    <w:rsid w:val="004949F0"/>
    <w:rsid w:val="004F7189"/>
    <w:rsid w:val="00500399"/>
    <w:rsid w:val="0051798B"/>
    <w:rsid w:val="00552078"/>
    <w:rsid w:val="005D6CCD"/>
    <w:rsid w:val="00674477"/>
    <w:rsid w:val="006C32C9"/>
    <w:rsid w:val="00746515"/>
    <w:rsid w:val="00837C38"/>
    <w:rsid w:val="00884547"/>
    <w:rsid w:val="008C2864"/>
    <w:rsid w:val="008C68A4"/>
    <w:rsid w:val="009D2101"/>
    <w:rsid w:val="00B61469"/>
    <w:rsid w:val="00B844D6"/>
    <w:rsid w:val="00CB147E"/>
    <w:rsid w:val="00CB4BF8"/>
    <w:rsid w:val="00CC1A4C"/>
    <w:rsid w:val="00CD1381"/>
    <w:rsid w:val="00CD1764"/>
    <w:rsid w:val="00CE1925"/>
    <w:rsid w:val="00D050AE"/>
    <w:rsid w:val="00D52D5C"/>
    <w:rsid w:val="00DA399B"/>
    <w:rsid w:val="00DF07BF"/>
    <w:rsid w:val="00E02E75"/>
    <w:rsid w:val="00E612AD"/>
    <w:rsid w:val="00EA084C"/>
    <w:rsid w:val="00EF4F3E"/>
    <w:rsid w:val="00EF5658"/>
    <w:rsid w:val="00F670C6"/>
    <w:rsid w:val="00F72C73"/>
    <w:rsid w:val="00FC353E"/>
    <w:rsid w:val="00FD1C2C"/>
    <w:rsid w:val="00FF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32A1"/>
  <w15:chartTrackingRefBased/>
  <w15:docId w15:val="{74B7D581-E1D1-4F90-A50C-B0442305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C2C"/>
  </w:style>
  <w:style w:type="paragraph" w:styleId="Heading1">
    <w:name w:val="heading 1"/>
    <w:basedOn w:val="Normal"/>
    <w:next w:val="Normal"/>
    <w:link w:val="Heading1Char"/>
    <w:uiPriority w:val="9"/>
    <w:qFormat/>
    <w:rsid w:val="00FD1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C2C"/>
    <w:rPr>
      <w:rFonts w:eastAsiaTheme="majorEastAsia" w:cstheme="majorBidi"/>
      <w:color w:val="272727" w:themeColor="text1" w:themeTint="D8"/>
    </w:rPr>
  </w:style>
  <w:style w:type="paragraph" w:styleId="Title">
    <w:name w:val="Title"/>
    <w:basedOn w:val="Normal"/>
    <w:next w:val="Normal"/>
    <w:link w:val="TitleChar"/>
    <w:uiPriority w:val="10"/>
    <w:qFormat/>
    <w:rsid w:val="00FD1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C2C"/>
    <w:pPr>
      <w:spacing w:before="160"/>
      <w:jc w:val="center"/>
    </w:pPr>
    <w:rPr>
      <w:i/>
      <w:iCs/>
      <w:color w:val="404040" w:themeColor="text1" w:themeTint="BF"/>
    </w:rPr>
  </w:style>
  <w:style w:type="character" w:customStyle="1" w:styleId="QuoteChar">
    <w:name w:val="Quote Char"/>
    <w:basedOn w:val="DefaultParagraphFont"/>
    <w:link w:val="Quote"/>
    <w:uiPriority w:val="29"/>
    <w:rsid w:val="00FD1C2C"/>
    <w:rPr>
      <w:i/>
      <w:iCs/>
      <w:color w:val="404040" w:themeColor="text1" w:themeTint="BF"/>
    </w:rPr>
  </w:style>
  <w:style w:type="paragraph" w:styleId="ListParagraph">
    <w:name w:val="List Paragraph"/>
    <w:basedOn w:val="Normal"/>
    <w:uiPriority w:val="34"/>
    <w:qFormat/>
    <w:rsid w:val="00FD1C2C"/>
    <w:pPr>
      <w:ind w:left="720"/>
      <w:contextualSpacing/>
    </w:pPr>
  </w:style>
  <w:style w:type="character" w:styleId="IntenseEmphasis">
    <w:name w:val="Intense Emphasis"/>
    <w:basedOn w:val="DefaultParagraphFont"/>
    <w:uiPriority w:val="21"/>
    <w:qFormat/>
    <w:rsid w:val="00FD1C2C"/>
    <w:rPr>
      <w:i/>
      <w:iCs/>
      <w:color w:val="0F4761" w:themeColor="accent1" w:themeShade="BF"/>
    </w:rPr>
  </w:style>
  <w:style w:type="paragraph" w:styleId="IntenseQuote">
    <w:name w:val="Intense Quote"/>
    <w:basedOn w:val="Normal"/>
    <w:next w:val="Normal"/>
    <w:link w:val="IntenseQuoteChar"/>
    <w:uiPriority w:val="30"/>
    <w:qFormat/>
    <w:rsid w:val="00FD1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C2C"/>
    <w:rPr>
      <w:i/>
      <w:iCs/>
      <w:color w:val="0F4761" w:themeColor="accent1" w:themeShade="BF"/>
    </w:rPr>
  </w:style>
  <w:style w:type="character" w:styleId="IntenseReference">
    <w:name w:val="Intense Reference"/>
    <w:basedOn w:val="DefaultParagraphFont"/>
    <w:uiPriority w:val="32"/>
    <w:qFormat/>
    <w:rsid w:val="00FD1C2C"/>
    <w:rPr>
      <w:b/>
      <w:bCs/>
      <w:smallCaps/>
      <w:color w:val="0F4761" w:themeColor="accent1" w:themeShade="BF"/>
      <w:spacing w:val="5"/>
    </w:rPr>
  </w:style>
  <w:style w:type="paragraph" w:styleId="NormalWeb">
    <w:name w:val="Normal (Web)"/>
    <w:basedOn w:val="Normal"/>
    <w:uiPriority w:val="99"/>
    <w:unhideWhenUsed/>
    <w:rsid w:val="00FD1C2C"/>
    <w:pPr>
      <w:spacing w:before="100" w:beforeAutospacing="1" w:after="100" w:afterAutospacing="1" w:line="240" w:lineRule="auto"/>
    </w:pPr>
    <w:rPr>
      <w:rFonts w:ascii="Times New Roman" w:eastAsia="Times New Roman" w:hAnsi="Times New Roman" w:cs="Times New Roman"/>
      <w:kern w:val="0"/>
      <w:sz w:val="24"/>
      <w:szCs w:val="24"/>
    </w:rPr>
  </w:style>
  <w:style w:type="table" w:styleId="GridTable1Light-Accent1">
    <w:name w:val="Grid Table 1 Light Accent 1"/>
    <w:basedOn w:val="TableNormal"/>
    <w:uiPriority w:val="46"/>
    <w:rsid w:val="00FD1C2C"/>
    <w:pPr>
      <w:spacing w:before="200" w:after="0" w:line="240" w:lineRule="auto"/>
    </w:pPr>
    <w:rPr>
      <w:rFonts w:ascii="Proxima Nova" w:eastAsia="Proxima Nova" w:hAnsi="Proxima Nova" w:cs="Proxima Nova"/>
      <w:color w:val="353744"/>
      <w:kern w:val="0"/>
      <w:lang w:val="en" w:eastAsia="en-GB"/>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customStyle="1" w:styleId="ui-provider">
    <w:name w:val="ui-provider"/>
    <w:basedOn w:val="DefaultParagraphFont"/>
    <w:rsid w:val="00FD1C2C"/>
  </w:style>
  <w:style w:type="table" w:styleId="ListTable3-Accent1">
    <w:name w:val="List Table 3 Accent 1"/>
    <w:basedOn w:val="TableNormal"/>
    <w:uiPriority w:val="48"/>
    <w:rsid w:val="00FD1C2C"/>
    <w:pPr>
      <w:spacing w:before="200" w:after="0" w:line="240" w:lineRule="auto"/>
    </w:pPr>
    <w:rPr>
      <w:rFonts w:ascii="Proxima Nova" w:eastAsia="Proxima Nova" w:hAnsi="Proxima Nova" w:cs="Proxima Nova"/>
      <w:color w:val="353744"/>
      <w:kern w:val="0"/>
      <w:lang w:val="en" w:eastAsia="en-GB"/>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Grid">
    <w:name w:val="Table Grid"/>
    <w:basedOn w:val="TableNormal"/>
    <w:uiPriority w:val="39"/>
    <w:rsid w:val="00CC1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7DEB"/>
    <w:rPr>
      <w:color w:val="467886" w:themeColor="hyperlink"/>
      <w:u w:val="single"/>
    </w:rPr>
  </w:style>
  <w:style w:type="table" w:styleId="TableGridLight">
    <w:name w:val="Grid Table Light"/>
    <w:basedOn w:val="TableNormal"/>
    <w:uiPriority w:val="40"/>
    <w:rsid w:val="00FF5D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F5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DC0"/>
  </w:style>
  <w:style w:type="paragraph" w:styleId="Footer">
    <w:name w:val="footer"/>
    <w:basedOn w:val="Normal"/>
    <w:link w:val="FooterChar"/>
    <w:uiPriority w:val="99"/>
    <w:unhideWhenUsed/>
    <w:rsid w:val="00FF5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DC0"/>
  </w:style>
  <w:style w:type="paragraph" w:styleId="Revision">
    <w:name w:val="Revision"/>
    <w:hidden/>
    <w:uiPriority w:val="99"/>
    <w:semiHidden/>
    <w:rsid w:val="00DA39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github.com/OHDSI/OncologyWG/blob/master/OncoRegimenFinder/readme.m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AB46CB42E974B8B343136A9C5AD12" ma:contentTypeVersion="15" ma:contentTypeDescription="Create a new document." ma:contentTypeScope="" ma:versionID="66ebf5f561be30d34b7a92e70ad66057">
  <xsd:schema xmlns:xsd="http://www.w3.org/2001/XMLSchema" xmlns:xs="http://www.w3.org/2001/XMLSchema" xmlns:p="http://schemas.microsoft.com/office/2006/metadata/properties" xmlns:ns2="34ef6fd2-5125-4c23-b935-9d16404da0a5" xmlns:ns3="8c3c43cf-186b-4613-84b4-a4ff23217b56" targetNamespace="http://schemas.microsoft.com/office/2006/metadata/properties" ma:root="true" ma:fieldsID="559148f9941e44eed5ab2a676c7f46b9" ns2:_="" ns3:_="">
    <xsd:import namespace="34ef6fd2-5125-4c23-b935-9d16404da0a5"/>
    <xsd:import namespace="8c3c43cf-186b-4613-84b4-a4ff23217b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6fd2-5125-4c23-b935-9d16404da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cbd03e-66a2-4c18-a228-0d90db8483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c43cf-186b-4613-84b4-a4ff23217b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12e874-be26-499a-b36a-3e9c3c72934e}" ma:internalName="TaxCatchAll" ma:showField="CatchAllData" ma:web="8c3c43cf-186b-4613-84b4-a4ff23217b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ef6fd2-5125-4c23-b935-9d16404da0a5">
      <Terms xmlns="http://schemas.microsoft.com/office/infopath/2007/PartnerControls"/>
    </lcf76f155ced4ddcb4097134ff3c332f>
    <TaxCatchAll xmlns="8c3c43cf-186b-4613-84b4-a4ff23217b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EC4B4-98CD-4268-A102-D18726A220C1}"/>
</file>

<file path=customXml/itemProps2.xml><?xml version="1.0" encoding="utf-8"?>
<ds:datastoreItem xmlns:ds="http://schemas.openxmlformats.org/officeDocument/2006/customXml" ds:itemID="{36B58907-E544-4FB0-AE85-54C7C9522DE6}">
  <ds:schemaRefs>
    <ds:schemaRef ds:uri="http://schemas.microsoft.com/office/2006/metadata/properties"/>
    <ds:schemaRef ds:uri="http://schemas.microsoft.com/office/infopath/2007/PartnerControls"/>
    <ds:schemaRef ds:uri="e24baf7d-613b-46f1-b386-02a12f4ce4e4"/>
    <ds:schemaRef ds:uri="f3c15af7-6d3f-41e4-a6a3-164c2615fb12"/>
    <ds:schemaRef ds:uri="2e61bed9-6f5e-4166-8cb1-0d8f3a0c4b04"/>
    <ds:schemaRef ds:uri="87f34f22-46c3-4422-bd39-c648fb9a8766"/>
  </ds:schemaRefs>
</ds:datastoreItem>
</file>

<file path=customXml/itemProps3.xml><?xml version="1.0" encoding="utf-8"?>
<ds:datastoreItem xmlns:ds="http://schemas.openxmlformats.org/officeDocument/2006/customXml" ds:itemID="{0399495C-249E-404E-98B4-95EFFCF5A3FD}">
  <ds:schemaRefs>
    <ds:schemaRef ds:uri="http://schemas.microsoft.com/sharepoint/v3/contenttype/forms"/>
  </ds:schemaRefs>
</ds:datastoreItem>
</file>

<file path=docMetadata/LabelInfo.xml><?xml version="1.0" encoding="utf-8"?>
<clbl:labelList xmlns:clbl="http://schemas.microsoft.com/office/2020/mipLabelMetadata">
  <clbl:label id="{67d37d1f-3017-4c4f-8b49-0faf75f02f4d}" enabled="1" method="Standard" siteId="{9578db82-4c36-4f0e-bb7a-cb125318e81b}"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13</Pages>
  <Words>2702</Words>
  <Characters>15403</Characters>
  <Application>Microsoft Office Word</Application>
  <DocSecurity>0</DocSecurity>
  <Lines>128</Lines>
  <Paragraphs>36</Paragraphs>
  <ScaleCrop>false</ScaleCrop>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L. Oeste, Ph.D.</dc:creator>
  <cp:keywords/>
  <dc:description/>
  <cp:lastModifiedBy>Laura Dormer</cp:lastModifiedBy>
  <cp:revision>10</cp:revision>
  <dcterms:created xsi:type="dcterms:W3CDTF">2025-05-08T16:00:00Z</dcterms:created>
  <dcterms:modified xsi:type="dcterms:W3CDTF">2026-01-20T12:28:00Z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0x010100FBDAB46CB42E974B8B343136A9C5AD12</vt:lpwstr>
  </property>
  <property fmtid="{D5CDD505-2E9C-101B-9397-08002B2CF9AE}" pid="3" name="MediaServiceImageTags">
    <vt:lpwstr/>
  </property>
</Properties>
</file>